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04B6A" w:rsidRDefault="00B04B6A">
      <w:pPr>
        <w:contextualSpacing w:val="0"/>
      </w:pPr>
    </w:p>
    <w:tbl>
      <w:tblPr>
        <w:tblStyle w:val="a"/>
        <w:tblW w:w="10785"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5070"/>
        <w:gridCol w:w="5715"/>
      </w:tblGrid>
      <w:tr w:rsidR="00B04B6A">
        <w:trPr>
          <w:trHeight w:val="600"/>
          <w:jc w:val="right"/>
        </w:trPr>
        <w:tc>
          <w:tcPr>
            <w:tcW w:w="5070" w:type="dxa"/>
            <w:tcMar>
              <w:top w:w="100" w:type="dxa"/>
              <w:left w:w="100" w:type="dxa"/>
              <w:bottom w:w="100" w:type="dxa"/>
              <w:right w:w="100" w:type="dxa"/>
            </w:tcMar>
          </w:tcPr>
          <w:p w:rsidR="00B04B6A" w:rsidRDefault="00471F78">
            <w:pPr>
              <w:contextualSpacing w:val="0"/>
            </w:pPr>
            <w:r>
              <w:rPr>
                <w:noProof/>
              </w:rPr>
              <w:drawing>
                <wp:inline distT="114300" distB="114300" distL="114300" distR="114300">
                  <wp:extent cx="2743200" cy="1371600"/>
                  <wp:effectExtent l="0" t="0" r="0" b="0"/>
                  <wp:docPr id="1" name="image01.png" descr="NGPF_LG.png"/>
                  <wp:cNvGraphicFramePr/>
                  <a:graphic xmlns:a="http://schemas.openxmlformats.org/drawingml/2006/main">
                    <a:graphicData uri="http://schemas.openxmlformats.org/drawingml/2006/picture">
                      <pic:pic xmlns:pic="http://schemas.openxmlformats.org/drawingml/2006/picture">
                        <pic:nvPicPr>
                          <pic:cNvPr id="0" name="image01.png" descr="NGPF_LG.png"/>
                          <pic:cNvPicPr preferRelativeResize="0"/>
                        </pic:nvPicPr>
                        <pic:blipFill>
                          <a:blip r:embed="rId8"/>
                          <a:srcRect/>
                          <a:stretch>
                            <a:fillRect/>
                          </a:stretch>
                        </pic:blipFill>
                        <pic:spPr>
                          <a:xfrm>
                            <a:off x="0" y="0"/>
                            <a:ext cx="2743200" cy="1371600"/>
                          </a:xfrm>
                          <a:prstGeom prst="rect">
                            <a:avLst/>
                          </a:prstGeom>
                          <a:ln/>
                        </pic:spPr>
                      </pic:pic>
                    </a:graphicData>
                  </a:graphic>
                </wp:inline>
              </w:drawing>
            </w:r>
          </w:p>
        </w:tc>
        <w:tc>
          <w:tcPr>
            <w:tcW w:w="5715" w:type="dxa"/>
            <w:tcMar>
              <w:top w:w="100" w:type="dxa"/>
              <w:left w:w="100" w:type="dxa"/>
              <w:bottom w:w="100" w:type="dxa"/>
              <w:right w:w="100" w:type="dxa"/>
            </w:tcMar>
            <w:vAlign w:val="center"/>
          </w:tcPr>
          <w:p w:rsidR="00B04B6A" w:rsidRDefault="00471F78">
            <w:pPr>
              <w:pStyle w:val="Heading2"/>
              <w:contextualSpacing w:val="0"/>
            </w:pPr>
            <w:bookmarkStart w:id="0" w:name="h.91pm0rvmo9a0" w:colFirst="0" w:colLast="0"/>
            <w:bookmarkEnd w:id="0"/>
            <w:r>
              <w:rPr>
                <w:color w:val="0C4599"/>
              </w:rPr>
              <w:t>Investing</w:t>
            </w:r>
          </w:p>
          <w:bookmarkStart w:id="1" w:name="h.gz1ud1rq8e0h" w:colFirst="0" w:colLast="0"/>
          <w:bookmarkEnd w:id="1"/>
          <w:p w:rsidR="00B04B6A" w:rsidRDefault="00471F78">
            <w:pPr>
              <w:pStyle w:val="Heading2"/>
              <w:contextualSpacing w:val="0"/>
            </w:pPr>
            <w:r>
              <w:fldChar w:fldCharType="begin"/>
            </w:r>
            <w:r>
              <w:instrText xml:space="preserve"> HYPERLINK "http://www.goorulearning.org/" \l "collection-play&amp;id=1973bc8d-4c9a-41df-9eba-2a967dd6bebd&amp;subject=featured&amp;lessonId=1&amp;lid=b42dd951-fa2f-4429-95d8-7edcba5d88a4&amp;eventid=E96A504E-38FB-41DA-B34A-2203A0814CAF" \h </w:instrText>
            </w:r>
            <w:r>
              <w:fldChar w:fldCharType="separate"/>
            </w:r>
            <w:r>
              <w:rPr>
                <w:color w:val="1155CC"/>
                <w:sz w:val="28"/>
                <w:u w:val="single"/>
              </w:rPr>
              <w:t>7.1 Investment Basics</w:t>
            </w:r>
            <w:r>
              <w:rPr>
                <w:color w:val="1155CC"/>
                <w:sz w:val="28"/>
                <w:u w:val="single"/>
              </w:rPr>
              <w:fldChar w:fldCharType="end"/>
            </w:r>
          </w:p>
          <w:p w:rsidR="00B04B6A" w:rsidRDefault="00471F78">
            <w:pPr>
              <w:pStyle w:val="Heading2"/>
              <w:contextualSpacing w:val="0"/>
            </w:pPr>
            <w:bookmarkStart w:id="2" w:name="h.wu76lvaaff33" w:colFirst="0" w:colLast="0"/>
            <w:bookmarkEnd w:id="2"/>
            <w:r>
              <w:rPr>
                <w:color w:val="999999"/>
                <w:sz w:val="28"/>
              </w:rPr>
              <w:t>Activity</w:t>
            </w:r>
          </w:p>
        </w:tc>
      </w:tr>
    </w:tbl>
    <w:p w:rsidR="00B04B6A" w:rsidRDefault="00B04B6A">
      <w:pPr>
        <w:spacing w:line="276" w:lineRule="auto"/>
        <w:contextualSpacing w:val="0"/>
      </w:pPr>
    </w:p>
    <w:p w:rsidR="00B04B6A" w:rsidRDefault="00B04B6A">
      <w:pPr>
        <w:spacing w:line="276" w:lineRule="auto"/>
        <w:contextualSpacing w:val="0"/>
      </w:pPr>
    </w:p>
    <w:tbl>
      <w:tblPr>
        <w:tblStyle w:val="a0"/>
        <w:tblW w:w="10710"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00" w:firstRow="0" w:lastRow="0" w:firstColumn="0" w:lastColumn="0" w:noHBand="1" w:noVBand="1"/>
      </w:tblPr>
      <w:tblGrid>
        <w:gridCol w:w="3150"/>
        <w:gridCol w:w="7560"/>
      </w:tblGrid>
      <w:tr w:rsidR="00B04B6A">
        <w:tc>
          <w:tcPr>
            <w:tcW w:w="3150" w:type="dxa"/>
            <w:tcMar>
              <w:top w:w="100" w:type="dxa"/>
              <w:left w:w="100" w:type="dxa"/>
              <w:bottom w:w="100" w:type="dxa"/>
              <w:right w:w="100" w:type="dxa"/>
            </w:tcMar>
          </w:tcPr>
          <w:p w:rsidR="00B04B6A" w:rsidRDefault="00471F78">
            <w:pPr>
              <w:pStyle w:val="Heading3"/>
              <w:contextualSpacing w:val="0"/>
              <w:jc w:val="left"/>
            </w:pPr>
            <w:bookmarkStart w:id="3" w:name="h.lw6q929qgptd" w:colFirst="0" w:colLast="0"/>
            <w:bookmarkEnd w:id="3"/>
            <w:r>
              <w:t>Name</w:t>
            </w:r>
          </w:p>
        </w:tc>
        <w:tc>
          <w:tcPr>
            <w:tcW w:w="7560" w:type="dxa"/>
            <w:tcMar>
              <w:top w:w="100" w:type="dxa"/>
              <w:left w:w="100" w:type="dxa"/>
              <w:bottom w:w="100" w:type="dxa"/>
              <w:right w:w="100" w:type="dxa"/>
            </w:tcMar>
          </w:tcPr>
          <w:p w:rsidR="00B04B6A" w:rsidRDefault="00B04B6A">
            <w:pPr>
              <w:spacing w:line="276" w:lineRule="auto"/>
              <w:contextualSpacing w:val="0"/>
            </w:pPr>
          </w:p>
        </w:tc>
      </w:tr>
    </w:tbl>
    <w:p w:rsidR="00B04B6A" w:rsidRDefault="00471F78">
      <w:pPr>
        <w:pStyle w:val="Title"/>
        <w:spacing w:line="288" w:lineRule="auto"/>
        <w:contextualSpacing w:val="0"/>
      </w:pPr>
      <w:bookmarkStart w:id="4" w:name="h.rj6uohr6q0sp" w:colFirst="0" w:colLast="0"/>
      <w:bookmarkEnd w:id="4"/>
      <w:r>
        <w:t>25 Things to Know About Investing</w:t>
      </w:r>
    </w:p>
    <w:p w:rsidR="00B04B6A" w:rsidRDefault="00471F78">
      <w:pPr>
        <w:contextualSpacing w:val="0"/>
      </w:pPr>
      <w:r>
        <w:t xml:space="preserve">Let’s start this lesson on investment basics by seeing what you already know about the topic.  </w:t>
      </w:r>
    </w:p>
    <w:p w:rsidR="00B04B6A" w:rsidRDefault="00B04B6A">
      <w:pPr>
        <w:contextualSpacing w:val="0"/>
      </w:pPr>
    </w:p>
    <w:p w:rsidR="00B04B6A" w:rsidRDefault="00471F78">
      <w:pPr>
        <w:contextualSpacing w:val="0"/>
      </w:pPr>
      <w:r>
        <w:rPr>
          <w:b/>
        </w:rPr>
        <w:t>1) Read &amp; Categorize (15 min)</w:t>
      </w:r>
    </w:p>
    <w:p w:rsidR="00B04B6A" w:rsidRDefault="00B04B6A">
      <w:pPr>
        <w:contextualSpacing w:val="0"/>
      </w:pPr>
    </w:p>
    <w:p w:rsidR="00B04B6A" w:rsidRDefault="00471F78">
      <w:pPr>
        <w:contextualSpacing w:val="0"/>
      </w:pPr>
      <w:r>
        <w:t xml:space="preserve">This </w:t>
      </w:r>
      <w:r>
        <w:rPr>
          <w:i/>
        </w:rPr>
        <w:t>Business Insider</w:t>
      </w:r>
      <w:r>
        <w:t xml:space="preserve"> article describes </w:t>
      </w:r>
      <w:hyperlink r:id="rId9">
        <w:r>
          <w:rPr>
            <w:color w:val="1155CC"/>
            <w:u w:val="single"/>
          </w:rPr>
          <w:t xml:space="preserve">25 Things to Know </w:t>
        </w:r>
        <w:proofErr w:type="gramStart"/>
        <w:r>
          <w:rPr>
            <w:color w:val="1155CC"/>
            <w:u w:val="single"/>
          </w:rPr>
          <w:t>About</w:t>
        </w:r>
        <w:proofErr w:type="gramEnd"/>
        <w:r>
          <w:rPr>
            <w:color w:val="1155CC"/>
            <w:u w:val="single"/>
          </w:rPr>
          <w:t xml:space="preserve"> Investing by Age 25</w:t>
        </w:r>
      </w:hyperlink>
      <w:r>
        <w:t xml:space="preserve">. You’ll notice we’ve numbered the </w:t>
      </w:r>
      <w:r>
        <w:rPr>
          <w:b/>
        </w:rPr>
        <w:t xml:space="preserve">Things to Know. </w:t>
      </w:r>
      <w:r>
        <w:t>As you read the article, write the corresponding number in one of the bo</w:t>
      </w:r>
      <w:r>
        <w:t xml:space="preserve">xes below, based on your current knowledge level of the topic.  </w:t>
      </w:r>
      <w:r>
        <w:rPr>
          <w:b/>
        </w:rPr>
        <w:t>There is NO expectation that you should already know all of this info!</w:t>
      </w:r>
    </w:p>
    <w:p w:rsidR="00B04B6A" w:rsidRDefault="00B04B6A">
      <w:pPr>
        <w:contextualSpacing w:val="0"/>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3600"/>
        <w:gridCol w:w="3600"/>
      </w:tblGrid>
      <w:tr w:rsidR="00B04B6A">
        <w:tc>
          <w:tcPr>
            <w:tcW w:w="3600" w:type="dxa"/>
            <w:shd w:val="clear" w:color="auto" w:fill="A2C4C9"/>
            <w:tcMar>
              <w:top w:w="100" w:type="dxa"/>
              <w:left w:w="100" w:type="dxa"/>
              <w:bottom w:w="100" w:type="dxa"/>
              <w:right w:w="100" w:type="dxa"/>
            </w:tcMar>
          </w:tcPr>
          <w:p w:rsidR="00B04B6A" w:rsidRDefault="00471F78">
            <w:pPr>
              <w:contextualSpacing w:val="0"/>
            </w:pPr>
            <w:r>
              <w:rPr>
                <w:b/>
                <w:sz w:val="22"/>
              </w:rPr>
              <w:t>CATEGORY 1:  I already know all about this...</w:t>
            </w:r>
          </w:p>
        </w:tc>
        <w:tc>
          <w:tcPr>
            <w:tcW w:w="3600" w:type="dxa"/>
            <w:shd w:val="clear" w:color="auto" w:fill="A2C4C9"/>
            <w:tcMar>
              <w:top w:w="100" w:type="dxa"/>
              <w:left w:w="100" w:type="dxa"/>
              <w:bottom w:w="100" w:type="dxa"/>
              <w:right w:w="100" w:type="dxa"/>
            </w:tcMar>
          </w:tcPr>
          <w:p w:rsidR="00B04B6A" w:rsidRDefault="00471F78">
            <w:pPr>
              <w:contextualSpacing w:val="0"/>
            </w:pPr>
            <w:r>
              <w:rPr>
                <w:b/>
                <w:sz w:val="22"/>
              </w:rPr>
              <w:t xml:space="preserve">CATEGORY 2:  I’ve heard of this, but I’m no expert... </w:t>
            </w:r>
          </w:p>
        </w:tc>
        <w:tc>
          <w:tcPr>
            <w:tcW w:w="3600" w:type="dxa"/>
            <w:shd w:val="clear" w:color="auto" w:fill="A2C4C9"/>
            <w:tcMar>
              <w:top w:w="100" w:type="dxa"/>
              <w:left w:w="100" w:type="dxa"/>
              <w:bottom w:w="100" w:type="dxa"/>
              <w:right w:w="100" w:type="dxa"/>
            </w:tcMar>
          </w:tcPr>
          <w:p w:rsidR="00B04B6A" w:rsidRDefault="00471F78">
            <w:pPr>
              <w:contextualSpacing w:val="0"/>
            </w:pPr>
            <w:r>
              <w:rPr>
                <w:b/>
                <w:sz w:val="22"/>
              </w:rPr>
              <w:t>CATEGORY 3:  I don’</w:t>
            </w:r>
            <w:r>
              <w:rPr>
                <w:b/>
                <w:sz w:val="22"/>
              </w:rPr>
              <w:t>t know anything about this...</w:t>
            </w:r>
          </w:p>
        </w:tc>
      </w:tr>
      <w:tr w:rsidR="00B04B6A">
        <w:tc>
          <w:tcPr>
            <w:tcW w:w="3600" w:type="dxa"/>
            <w:tcMar>
              <w:top w:w="100" w:type="dxa"/>
              <w:left w:w="100" w:type="dxa"/>
              <w:bottom w:w="100" w:type="dxa"/>
              <w:right w:w="100" w:type="dxa"/>
            </w:tcMar>
          </w:tcPr>
          <w:p w:rsidR="00B04B6A" w:rsidRDefault="00B04B6A">
            <w:pPr>
              <w:contextualSpacing w:val="0"/>
            </w:pPr>
          </w:p>
          <w:p w:rsidR="00B04B6A" w:rsidRDefault="00B04B6A">
            <w:pPr>
              <w:contextualSpacing w:val="0"/>
            </w:pPr>
            <w:bookmarkStart w:id="5" w:name="_GoBack"/>
            <w:bookmarkEnd w:id="5"/>
          </w:p>
          <w:p w:rsidR="00B04B6A" w:rsidRDefault="00B04B6A">
            <w:pPr>
              <w:contextualSpacing w:val="0"/>
            </w:pPr>
          </w:p>
          <w:p w:rsidR="00B04B6A" w:rsidRDefault="00B04B6A">
            <w:pPr>
              <w:contextualSpacing w:val="0"/>
            </w:pPr>
          </w:p>
          <w:p w:rsidR="00B04B6A" w:rsidRDefault="00B04B6A">
            <w:pPr>
              <w:contextualSpacing w:val="0"/>
            </w:pPr>
          </w:p>
          <w:p w:rsidR="00B04B6A" w:rsidRDefault="00B04B6A">
            <w:pPr>
              <w:contextualSpacing w:val="0"/>
            </w:pPr>
          </w:p>
        </w:tc>
        <w:tc>
          <w:tcPr>
            <w:tcW w:w="3600" w:type="dxa"/>
            <w:tcMar>
              <w:top w:w="100" w:type="dxa"/>
              <w:left w:w="100" w:type="dxa"/>
              <w:bottom w:w="100" w:type="dxa"/>
              <w:right w:w="100" w:type="dxa"/>
            </w:tcMar>
          </w:tcPr>
          <w:p w:rsidR="00B04B6A" w:rsidRDefault="00B04B6A">
            <w:pPr>
              <w:contextualSpacing w:val="0"/>
            </w:pPr>
          </w:p>
        </w:tc>
        <w:tc>
          <w:tcPr>
            <w:tcW w:w="3600" w:type="dxa"/>
            <w:tcMar>
              <w:top w:w="100" w:type="dxa"/>
              <w:left w:w="100" w:type="dxa"/>
              <w:bottom w:w="100" w:type="dxa"/>
              <w:right w:w="100" w:type="dxa"/>
            </w:tcMar>
          </w:tcPr>
          <w:p w:rsidR="00B04B6A" w:rsidRDefault="00B04B6A">
            <w:pPr>
              <w:contextualSpacing w:val="0"/>
            </w:pPr>
          </w:p>
        </w:tc>
      </w:tr>
    </w:tbl>
    <w:p w:rsidR="00B04B6A" w:rsidRDefault="00B04B6A">
      <w:pPr>
        <w:contextualSpacing w:val="0"/>
      </w:pPr>
    </w:p>
    <w:p w:rsidR="00B04B6A" w:rsidRDefault="00B04B6A">
      <w:pPr>
        <w:contextualSpacing w:val="0"/>
      </w:pPr>
    </w:p>
    <w:p w:rsidR="00B04B6A" w:rsidRDefault="00471F78">
      <w:pPr>
        <w:contextualSpacing w:val="0"/>
      </w:pPr>
      <w:r>
        <w:rPr>
          <w:b/>
        </w:rPr>
        <w:t>2) Learn with a Partner (10 min)</w:t>
      </w:r>
    </w:p>
    <w:p w:rsidR="00B04B6A" w:rsidRDefault="00B04B6A">
      <w:pPr>
        <w:contextualSpacing w:val="0"/>
      </w:pPr>
    </w:p>
    <w:p w:rsidR="00B04B6A" w:rsidRDefault="00471F78">
      <w:pPr>
        <w:numPr>
          <w:ilvl w:val="0"/>
          <w:numId w:val="1"/>
        </w:numPr>
        <w:ind w:hanging="360"/>
      </w:pPr>
      <w:r>
        <w:t xml:space="preserve"> First, find one item that you’ve put in Category 1 that your partner did not.  Explain your understanding of that fact to your partner, to the best of your ability.  Now, switch roles.  Your partner should find one item in their Category 1 that you didn’t</w:t>
      </w:r>
      <w:r>
        <w:t xml:space="preserve"> include there and explain it to you.  </w:t>
      </w:r>
      <w:r>
        <w:rPr>
          <w:i/>
        </w:rPr>
        <w:t>**If you didn’t put anything in Category 1, pick the item in Category 2 you feel you know best.</w:t>
      </w:r>
    </w:p>
    <w:p w:rsidR="00B04B6A" w:rsidRDefault="00B04B6A">
      <w:pPr>
        <w:contextualSpacing w:val="0"/>
      </w:pPr>
    </w:p>
    <w:p w:rsidR="00B04B6A" w:rsidRDefault="00B04B6A">
      <w:pPr>
        <w:contextualSpacing w:val="0"/>
      </w:pPr>
    </w:p>
    <w:p w:rsidR="00B04B6A" w:rsidRDefault="00471F78">
      <w:pPr>
        <w:numPr>
          <w:ilvl w:val="0"/>
          <w:numId w:val="1"/>
        </w:numPr>
        <w:ind w:hanging="360"/>
      </w:pPr>
      <w:r>
        <w:t>Now, find one item that you know nothing about -- Category 3 -- that your partner understands and have him or her expla</w:t>
      </w:r>
      <w:r>
        <w:t xml:space="preserve">in it to you.  Now, switch roles.  </w:t>
      </w:r>
    </w:p>
    <w:p w:rsidR="00B04B6A" w:rsidRDefault="00B04B6A">
      <w:pPr>
        <w:contextualSpacing w:val="0"/>
      </w:pPr>
    </w:p>
    <w:p w:rsidR="00B04B6A" w:rsidRDefault="00B04B6A">
      <w:pPr>
        <w:contextualSpacing w:val="0"/>
      </w:pPr>
    </w:p>
    <w:p w:rsidR="00B04B6A" w:rsidRDefault="00471F78">
      <w:pPr>
        <w:numPr>
          <w:ilvl w:val="0"/>
          <w:numId w:val="1"/>
        </w:numPr>
        <w:ind w:hanging="360"/>
      </w:pPr>
      <w:r>
        <w:t>Finally, find one investing concept that you BOTH put into category 3 and do some quick online research to find a resource that explains the topic better.  Both of you should be looking for resources, and then, based o</w:t>
      </w:r>
      <w:r>
        <w:t>n what you find, write a brief explanation of your new understanding here:</w:t>
      </w:r>
    </w:p>
    <w:sectPr w:rsidR="00B04B6A">
      <w:footerReference w:type="default" r:id="rId10"/>
      <w:pgSz w:w="12240" w:h="15840"/>
      <w:pgMar w:top="360" w:right="720" w:bottom="36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71F78">
      <w:r>
        <w:separator/>
      </w:r>
    </w:p>
  </w:endnote>
  <w:endnote w:type="continuationSeparator" w:id="0">
    <w:p w:rsidR="00000000" w:rsidRDefault="0047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B6A" w:rsidRDefault="00471F78">
    <w:pPr>
      <w:contextualSpacing w:val="0"/>
      <w:jc w:val="center"/>
    </w:pPr>
    <w:hyperlink r:id="rId1">
      <w:r>
        <w:rPr>
          <w:color w:val="999999"/>
          <w:u w:val="single"/>
        </w:rPr>
        <w:t>www.nextgenpersonalfinance.org</w:t>
      </w:r>
    </w:hyperlink>
    <w:r>
      <w:rPr>
        <w:color w:val="999999"/>
      </w:rPr>
      <w:tab/>
    </w:r>
    <w:r>
      <w:rPr>
        <w:color w:val="999999"/>
      </w:rPr>
      <w:tab/>
    </w:r>
    <w:r>
      <w:rPr>
        <w:color w:val="999999"/>
      </w:rPr>
      <w:tab/>
    </w:r>
    <w:r>
      <w:rPr>
        <w:color w:val="999999"/>
      </w:rPr>
      <w:tab/>
      <w:t xml:space="preserve"> </w:t>
    </w:r>
    <w:hyperlink r:id="rId2" w:anchor="NextGenFinance">
      <w:r>
        <w:rPr>
          <w:color w:val="999999"/>
          <w:u w:val="single"/>
        </w:rPr>
        <w:t xml:space="preserve">View all NGPF's lessons on </w:t>
      </w:r>
      <w:proofErr w:type="spellStart"/>
      <w:r>
        <w:rPr>
          <w:color w:val="999999"/>
          <w:u w:val="single"/>
        </w:rPr>
        <w:t>Gooru</w:t>
      </w:r>
      <w:proofErr w:type="spellEnd"/>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71F78">
      <w:r>
        <w:separator/>
      </w:r>
    </w:p>
  </w:footnote>
  <w:footnote w:type="continuationSeparator" w:id="0">
    <w:p w:rsidR="00000000" w:rsidRDefault="00471F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C152A0"/>
    <w:multiLevelType w:val="multilevel"/>
    <w:tmpl w:val="14742B56"/>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04B6A"/>
    <w:rsid w:val="00471F78"/>
    <w:rsid w:val="00B04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lang w:val="en-US" w:eastAsia="en-US" w:bidi="ar-SA"/>
      </w:rPr>
    </w:rPrDefault>
    <w:pPrDefault>
      <w:pPr>
        <w:widowControl w:val="0"/>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outlineLvl w:val="0"/>
    </w:pPr>
    <w:rPr>
      <w:color w:val="FFFFFF"/>
      <w:sz w:val="24"/>
      <w:highlight w:val="black"/>
    </w:rPr>
  </w:style>
  <w:style w:type="paragraph" w:styleId="Heading2">
    <w:name w:val="heading 2"/>
    <w:basedOn w:val="Normal"/>
    <w:next w:val="Normal"/>
    <w:pPr>
      <w:jc w:val="right"/>
      <w:outlineLvl w:val="1"/>
    </w:pPr>
    <w:rPr>
      <w:i/>
      <w:sz w:val="36"/>
    </w:rPr>
  </w:style>
  <w:style w:type="paragraph" w:styleId="Heading3">
    <w:name w:val="heading 3"/>
    <w:basedOn w:val="Normal"/>
    <w:next w:val="Normal"/>
    <w:pPr>
      <w:jc w:val="center"/>
      <w:outlineLvl w:val="2"/>
    </w:pPr>
    <w:rPr>
      <w:b/>
      <w:sz w:val="22"/>
    </w:rPr>
  </w:style>
  <w:style w:type="paragraph" w:styleId="Heading4">
    <w:name w:val="heading 4"/>
    <w:basedOn w:val="Normal"/>
    <w:next w:val="Normal"/>
    <w:pPr>
      <w:outlineLvl w:val="3"/>
    </w:pPr>
    <w:rPr>
      <w:i/>
    </w:rPr>
  </w:style>
  <w:style w:type="paragraph" w:styleId="Heading5">
    <w:name w:val="heading 5"/>
    <w:basedOn w:val="Normal"/>
    <w:next w:val="Normal"/>
    <w:pPr>
      <w:spacing w:before="220" w:after="40"/>
      <w:outlineLvl w:val="4"/>
    </w:pPr>
    <w:rPr>
      <w:b/>
      <w:color w:val="666666"/>
    </w:rPr>
  </w:style>
  <w:style w:type="paragraph" w:styleId="Heading6">
    <w:name w:val="heading 6"/>
    <w:basedOn w:val="Normal"/>
    <w:next w:val="Normal"/>
    <w:pPr>
      <w:spacing w:before="200" w:after="4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sz w:val="48"/>
    </w:rPr>
  </w:style>
  <w:style w:type="paragraph" w:styleId="Subtitle">
    <w:name w:val="Subtitle"/>
    <w:basedOn w:val="Normal"/>
    <w:next w:val="Normal"/>
    <w:pPr>
      <w:spacing w:before="360" w:after="80"/>
    </w:pPr>
    <w:rPr>
      <w:i/>
      <w:color w:val="8EA88C"/>
      <w:sz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471F78"/>
    <w:rPr>
      <w:rFonts w:ascii="Tahoma" w:hAnsi="Tahoma" w:cs="Tahoma"/>
      <w:sz w:val="16"/>
      <w:szCs w:val="16"/>
    </w:rPr>
  </w:style>
  <w:style w:type="character" w:customStyle="1" w:styleId="BalloonTextChar">
    <w:name w:val="Balloon Text Char"/>
    <w:basedOn w:val="DefaultParagraphFont"/>
    <w:link w:val="BalloonText"/>
    <w:uiPriority w:val="99"/>
    <w:semiHidden/>
    <w:rsid w:val="00471F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lang w:val="en-US" w:eastAsia="en-US" w:bidi="ar-SA"/>
      </w:rPr>
    </w:rPrDefault>
    <w:pPrDefault>
      <w:pPr>
        <w:widowControl w:val="0"/>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outlineLvl w:val="0"/>
    </w:pPr>
    <w:rPr>
      <w:color w:val="FFFFFF"/>
      <w:sz w:val="24"/>
      <w:highlight w:val="black"/>
    </w:rPr>
  </w:style>
  <w:style w:type="paragraph" w:styleId="Heading2">
    <w:name w:val="heading 2"/>
    <w:basedOn w:val="Normal"/>
    <w:next w:val="Normal"/>
    <w:pPr>
      <w:jc w:val="right"/>
      <w:outlineLvl w:val="1"/>
    </w:pPr>
    <w:rPr>
      <w:i/>
      <w:sz w:val="36"/>
    </w:rPr>
  </w:style>
  <w:style w:type="paragraph" w:styleId="Heading3">
    <w:name w:val="heading 3"/>
    <w:basedOn w:val="Normal"/>
    <w:next w:val="Normal"/>
    <w:pPr>
      <w:jc w:val="center"/>
      <w:outlineLvl w:val="2"/>
    </w:pPr>
    <w:rPr>
      <w:b/>
      <w:sz w:val="22"/>
    </w:rPr>
  </w:style>
  <w:style w:type="paragraph" w:styleId="Heading4">
    <w:name w:val="heading 4"/>
    <w:basedOn w:val="Normal"/>
    <w:next w:val="Normal"/>
    <w:pPr>
      <w:outlineLvl w:val="3"/>
    </w:pPr>
    <w:rPr>
      <w:i/>
    </w:rPr>
  </w:style>
  <w:style w:type="paragraph" w:styleId="Heading5">
    <w:name w:val="heading 5"/>
    <w:basedOn w:val="Normal"/>
    <w:next w:val="Normal"/>
    <w:pPr>
      <w:spacing w:before="220" w:after="40"/>
      <w:outlineLvl w:val="4"/>
    </w:pPr>
    <w:rPr>
      <w:b/>
      <w:color w:val="666666"/>
    </w:rPr>
  </w:style>
  <w:style w:type="paragraph" w:styleId="Heading6">
    <w:name w:val="heading 6"/>
    <w:basedOn w:val="Normal"/>
    <w:next w:val="Normal"/>
    <w:pPr>
      <w:spacing w:before="200" w:after="4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sz w:val="48"/>
    </w:rPr>
  </w:style>
  <w:style w:type="paragraph" w:styleId="Subtitle">
    <w:name w:val="Subtitle"/>
    <w:basedOn w:val="Normal"/>
    <w:next w:val="Normal"/>
    <w:pPr>
      <w:spacing w:before="360" w:after="80"/>
    </w:pPr>
    <w:rPr>
      <w:i/>
      <w:color w:val="8EA88C"/>
      <w:sz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471F78"/>
    <w:rPr>
      <w:rFonts w:ascii="Tahoma" w:hAnsi="Tahoma" w:cs="Tahoma"/>
      <w:sz w:val="16"/>
      <w:szCs w:val="16"/>
    </w:rPr>
  </w:style>
  <w:style w:type="character" w:customStyle="1" w:styleId="BalloonTextChar">
    <w:name w:val="Balloon Text Char"/>
    <w:basedOn w:val="DefaultParagraphFont"/>
    <w:link w:val="BalloonText"/>
    <w:uiPriority w:val="99"/>
    <w:semiHidden/>
    <w:rsid w:val="00471F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rive.google.com/open?id=0B66-SB5gTbeqOHgyMXhhVGNZS3c&amp;authuser=0"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goorulearning.org/" TargetMode="External"/><Relationship Id="rId1" Type="http://schemas.openxmlformats.org/officeDocument/2006/relationships/hyperlink" Target="http://www.nextgenpersonalfina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DCBE</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Chapman</dc:creator>
  <cp:lastModifiedBy>Julie Chapman</cp:lastModifiedBy>
  <cp:revision>2</cp:revision>
  <dcterms:created xsi:type="dcterms:W3CDTF">2015-05-20T14:27:00Z</dcterms:created>
  <dcterms:modified xsi:type="dcterms:W3CDTF">2015-05-20T14:27:00Z</dcterms:modified>
</cp:coreProperties>
</file>