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color w:val="0c4599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1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75"/>
        <w:gridCol w:w="6195"/>
        <w:tblGridChange w:id="0">
          <w:tblGrid>
            <w:gridCol w:w="4575"/>
            <w:gridCol w:w="6195"/>
          </w:tblGrid>
        </w:tblGridChange>
      </w:tblGrid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alibri" w:cs="Calibri" w:eastAsia="Calibri" w:hAnsi="Calibri"/>
                <w:color w:val="0c4599"/>
                <w:sz w:val="56"/>
                <w:szCs w:val="5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4599"/>
                <w:sz w:val="56"/>
                <w:szCs w:val="56"/>
              </w:rPr>
              <w:drawing>
                <wp:inline distB="114300" distT="114300" distL="114300" distR="114300">
                  <wp:extent cx="2743200" cy="1371600"/>
                  <wp:effectExtent b="0" l="0" r="0" t="0"/>
                  <wp:docPr descr="NGPF_LG.png" id="1" name="image1.png"/>
                  <a:graphic>
                    <a:graphicData uri="http://schemas.openxmlformats.org/drawingml/2006/picture">
                      <pic:pic>
                        <pic:nvPicPr>
                          <pic:cNvPr descr="NGPF_LG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>
                <w:rFonts w:ascii="Calibri" w:cs="Calibri" w:eastAsia="Calibri" w:hAnsi="Calibri"/>
                <w:i w:val="1"/>
                <w:color w:val="0c4599"/>
                <w:sz w:val="36"/>
                <w:szCs w:val="36"/>
              </w:rPr>
            </w:pPr>
            <w:bookmarkStart w:colFirst="0" w:colLast="0" w:name="_3f5968a7natk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c4599"/>
                <w:sz w:val="36"/>
                <w:szCs w:val="36"/>
                <w:rtl w:val="0"/>
              </w:rPr>
              <w:t xml:space="preserve">Saving</w:t>
            </w:r>
          </w:p>
          <w:p w:rsidR="00000000" w:rsidDel="00000000" w:rsidP="00000000" w:rsidRDefault="00000000" w:rsidRPr="00000000" w14:paraId="00000004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>
                <w:rFonts w:ascii="Calibri" w:cs="Calibri" w:eastAsia="Calibri" w:hAnsi="Calibri"/>
                <w:i w:val="1"/>
                <w:color w:val="0c4599"/>
                <w:sz w:val="28"/>
                <w:szCs w:val="28"/>
              </w:rPr>
            </w:pPr>
            <w:bookmarkStart w:colFirst="0" w:colLast="0" w:name="_tve0x419wy5c" w:id="1"/>
            <w:bookmarkEnd w:id="1"/>
            <w:r w:rsidDel="00000000" w:rsidR="00000000" w:rsidRPr="00000000">
              <w:rPr>
                <w:rFonts w:ascii="Calibri" w:cs="Calibri" w:eastAsia="Calibri" w:hAnsi="Calibri"/>
                <w:i w:val="1"/>
                <w:color w:val="0c4599"/>
                <w:sz w:val="28"/>
                <w:szCs w:val="28"/>
                <w:rtl w:val="0"/>
              </w:rPr>
              <w:t xml:space="preserve">2.2 Why We Save</w:t>
            </w:r>
          </w:p>
          <w:p w:rsidR="00000000" w:rsidDel="00000000" w:rsidP="00000000" w:rsidRDefault="00000000" w:rsidRPr="00000000" w14:paraId="00000005">
            <w:pPr>
              <w:pStyle w:val="Heading2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jc w:val="right"/>
              <w:rPr/>
            </w:pPr>
            <w:bookmarkStart w:colFirst="0" w:colLast="0" w:name="_cjlrx17pafy0" w:id="2"/>
            <w:bookmarkEnd w:id="2"/>
            <w:r w:rsidDel="00000000" w:rsidR="00000000" w:rsidRPr="00000000">
              <w:rPr>
                <w:rFonts w:ascii="Calibri" w:cs="Calibri" w:eastAsia="Calibri" w:hAnsi="Calibri"/>
                <w:i w:val="1"/>
                <w:color w:val="999999"/>
                <w:sz w:val="28"/>
                <w:szCs w:val="28"/>
                <w:rtl w:val="0"/>
              </w:rPr>
              <w:t xml:space="preserve">Comprehension Questions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100.0" w:type="pc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3150"/>
        <w:gridCol w:w="7560"/>
        <w:tblGridChange w:id="0">
          <w:tblGrid>
            <w:gridCol w:w="3150"/>
            <w:gridCol w:w="75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bookmarkStart w:colFirst="0" w:colLast="0" w:name="_lw6q929qgptd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color w:val="ff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Why We Save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Fill in the blank with the word DAYS, WEEKS, MONTHS, or YEARS.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Experts recommend you accumulate enough to cover 3 to 6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_________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of expenses in your emergency fund.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Select all of the reasons it's a good idea to begin saving for retirement in your early 20s. </w:t>
      </w:r>
    </w:p>
    <w:tbl>
      <w:tblPr>
        <w:tblStyle w:val="Table3"/>
        <w:tblW w:w="8835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7860"/>
        <w:tblGridChange w:id="0">
          <w:tblGrid>
            <w:gridCol w:w="975"/>
            <w:gridCol w:w="7860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Select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Statement</w:t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You'll benefit substantially from compounding interest over all those years 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Banks typically offer young people higher interest rates, so you'll earn more interest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Banks typically offer young people lower interest rates, so you'll pay less in interest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You'll get in the good habit of saving money early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You will have more months and years in which to save before it's time for retirement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Young adults typically have fewer responsibilities, can live more thriftily, and can put that money toward savings</w:t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True or False: If you start saving as a high school freshman, you'll likely have enough saved by graduation in order to pay all of your college tuition.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True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False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Jasmine is 27 and wants to make sure she'll have enough money to retire when she's 67. Which strategy will BEST help her meet that goal?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Save $100 per month in her savings account for the next 40 years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Enjoy a carefree life now -- travel, buy nice things -- and then start saving a lot when she turns 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Invest automatically, every month, in mutual or index funds, and let the money grow for decades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Invest $100 per month, for the next 10 years, in a high risk/high return stock, and she should have enough already to retire by age 37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Which of these is a specialized account used exclusively for saving money for future health expenses?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401(k)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529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IRA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Mark whether each of these represents an example of "Keeping up with the Joneses." </w:t>
      </w:r>
    </w:p>
    <w:tbl>
      <w:tblPr>
        <w:tblStyle w:val="Table4"/>
        <w:tblW w:w="936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0"/>
        <w:gridCol w:w="520"/>
        <w:gridCol w:w="8280"/>
        <w:tblGridChange w:id="0">
          <w:tblGrid>
            <w:gridCol w:w="560"/>
            <w:gridCol w:w="520"/>
            <w:gridCol w:w="8280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Statement</w:t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Buying new sneakers the day they come out, because you know others in your class will have them, too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Applying to the top colleges, to see if you'll get accepted to any of them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Saving for retirement as soon as you graduate college, to take advantage of compounding interest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Buying a new car, instead of a used vehicle, so that friends and neighbors won't think you're poor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Planning a spring break trip you can't really afford so that your pictures look enviable on social media</w:t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of these is NOT a known reason that people impulse shop?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sense that the product will make your life substantially better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Strategic pricing and ads that lead you to believe that if you buy now, you'll save overall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concern about inflation and its impact on the future cost of goods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fear of missing out on a great deal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items make people feel good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all of the reasons it is dangerous to live paycheck-to-paycheck.</w:t>
      </w:r>
      <w:r w:rsidDel="00000000" w:rsidR="00000000" w:rsidRPr="00000000">
        <w:rPr>
          <w:rtl w:val="0"/>
        </w:rPr>
      </w:r>
    </w:p>
    <w:tbl>
      <w:tblPr>
        <w:tblStyle w:val="Table5"/>
        <w:tblW w:w="9525.0" w:type="dxa"/>
        <w:jc w:val="left"/>
        <w:tblInd w:w="8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8445"/>
        <w:tblGridChange w:id="0">
          <w:tblGrid>
            <w:gridCol w:w="1080"/>
            <w:gridCol w:w="844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Select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you lose your job, you have no way to pay bills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will never be able to buy nice things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Only low-income people live paycheck-to-paycheck, so living that way means you are poor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It's difficult to build up savings in an emergency fund or for long-term goals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Always at risk of overdrawing accounts or maxing out credit cards to meet your needs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It's stressful and can lead to bad decision-making</w:t>
            </w:r>
          </w:p>
        </w:tc>
      </w:tr>
    </w:tbl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Margot is currently a high school junior and wants to be able to pay for all of next year's prom and senior trip herself, using the money from her part-time job, where she gets paid twice per month. Put the steps she should follow to achieve her goal in order. </w:t>
      </w:r>
    </w:p>
    <w:tbl>
      <w:tblPr>
        <w:tblStyle w:val="Table6"/>
        <w:tblW w:w="9360.0" w:type="dxa"/>
        <w:jc w:val="left"/>
        <w:tblInd w:w="8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8385"/>
        <w:tblGridChange w:id="0">
          <w:tblGrid>
            <w:gridCol w:w="975"/>
            <w:gridCol w:w="8385"/>
          </w:tblGrid>
        </w:tblGridChange>
      </w:tblGrid>
      <w:tr>
        <w:trPr>
          <w:trHeight w:val="480" w:hRule="atLeast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Determine how much prom and senior trip will cost, in total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Create a budget that ensures she can meet her short-term needs but also set aside money toward her savings goal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Determine how much she needs to save per month to meet her goals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Determine how much she needs to save from each paycheck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Determine how many months she has between now and these events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Automatically put the money for savings from each paycheck into her savings account, and don't touch it until prom/senior trip time</w:t>
            </w:r>
          </w:p>
        </w:tc>
      </w:tr>
    </w:tbl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Fill in each blank with one word: EARN, HAPPIER, SAVE, SADDER, SPEND.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Research has shown that the more money you ____________, the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you feel. 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360" w:top="36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/>
    </w:pPr>
    <w:hyperlink r:id="rId1">
      <w:r w:rsidDel="00000000" w:rsidR="00000000" w:rsidRPr="00000000">
        <w:rPr>
          <w:rFonts w:ascii="Calibri" w:cs="Calibri" w:eastAsia="Calibri" w:hAnsi="Calibri"/>
          <w:color w:val="999999"/>
          <w:sz w:val="20"/>
          <w:szCs w:val="20"/>
          <w:u w:val="single"/>
          <w:rtl w:val="0"/>
        </w:rPr>
        <w:t xml:space="preserve">www.nextgenpersonalfinance.org</w:t>
      </w:r>
    </w:hyperlink>
    <w:r w:rsidDel="00000000" w:rsidR="00000000" w:rsidRPr="00000000">
      <w:rPr>
        <w:rFonts w:ascii="Calibri" w:cs="Calibri" w:eastAsia="Calibri" w:hAnsi="Calibri"/>
        <w:color w:val="999999"/>
        <w:sz w:val="20"/>
        <w:szCs w:val="20"/>
        <w:rtl w:val="0"/>
      </w:rPr>
      <w:tab/>
      <w:tab/>
      <w:tab/>
      <w:tab/>
      <w:t xml:space="preserve"> </w:t>
    </w:r>
    <w:hyperlink r:id="rId2">
      <w:r w:rsidDel="00000000" w:rsidR="00000000" w:rsidRPr="00000000">
        <w:rPr>
          <w:rFonts w:ascii="Calibri" w:cs="Calibri" w:eastAsia="Calibri" w:hAnsi="Calibri"/>
          <w:color w:val="999999"/>
          <w:sz w:val="20"/>
          <w:szCs w:val="20"/>
          <w:u w:val="single"/>
          <w:rtl w:val="0"/>
        </w:rPr>
        <w:t xml:space="preserve">View all NGPF's lessons on Gooru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extgenpersonalfinance.org" TargetMode="External"/><Relationship Id="rId2" Type="http://schemas.openxmlformats.org/officeDocument/2006/relationships/hyperlink" Target="http://www.cli.re/ngpfgo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