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color w:val="0c4599"/>
          <w:sz w:val="12"/>
          <w:szCs w:val="12"/>
        </w:rPr>
      </w:pPr>
      <w:r w:rsidDel="00000000" w:rsidR="00000000" w:rsidRPr="00000000">
        <w:rPr>
          <w:rtl w:val="0"/>
        </w:rPr>
      </w:r>
    </w:p>
    <w:tbl>
      <w:tblPr>
        <w:tblStyle w:val="Table1"/>
        <w:tblW w:w="10785.0" w:type="dxa"/>
        <w:jc w:val="righ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gridCol w:w="5715"/>
        <w:tblGridChange w:id="0">
          <w:tblGrid>
            <w:gridCol w:w="5070"/>
            <w:gridCol w:w="5715"/>
          </w:tblGrid>
        </w:tblGridChange>
      </w:tblGrid>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ind w:left="-135" w:firstLine="0"/>
              <w:rPr>
                <w:color w:val="0c4599"/>
                <w:sz w:val="56"/>
                <w:szCs w:val="56"/>
              </w:rPr>
            </w:pPr>
            <w:r w:rsidDel="00000000" w:rsidR="00000000" w:rsidRPr="00000000">
              <w:rPr>
                <w:color w:val="0c4599"/>
                <w:sz w:val="56"/>
                <w:szCs w:val="56"/>
              </w:rPr>
              <w:drawing>
                <wp:inline distB="114300" distT="114300" distL="114300" distR="114300">
                  <wp:extent cx="2357438" cy="715487"/>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357438" cy="715487"/>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3">
            <w:pPr>
              <w:pStyle w:val="Heading2"/>
              <w:jc w:val="right"/>
              <w:rPr>
                <w:color w:val="0c4599"/>
              </w:rPr>
            </w:pPr>
            <w:bookmarkStart w:colFirst="0" w:colLast="0" w:name="_3f5968a7natk" w:id="0"/>
            <w:bookmarkEnd w:id="0"/>
            <w:r w:rsidDel="00000000" w:rsidR="00000000" w:rsidRPr="00000000">
              <w:rPr>
                <w:color w:val="0c4599"/>
                <w:rtl w:val="0"/>
              </w:rPr>
              <w:t xml:space="preserve">Semester Course</w:t>
            </w:r>
          </w:p>
          <w:p w:rsidR="00000000" w:rsidDel="00000000" w:rsidP="00000000" w:rsidRDefault="00000000" w:rsidRPr="00000000" w14:paraId="00000004">
            <w:pPr>
              <w:pStyle w:val="Heading2"/>
              <w:jc w:val="right"/>
              <w:rPr>
                <w:color w:val="999999"/>
                <w:sz w:val="28"/>
                <w:szCs w:val="28"/>
              </w:rPr>
            </w:pPr>
            <w:bookmarkStart w:colFirst="0" w:colLast="0" w:name="_c7biw8skyj9b" w:id="1"/>
            <w:bookmarkEnd w:id="1"/>
            <w:r w:rsidDel="00000000" w:rsidR="00000000" w:rsidRPr="00000000">
              <w:rPr>
                <w:color w:val="0c4599"/>
                <w:sz w:val="28"/>
                <w:szCs w:val="28"/>
                <w:rtl w:val="0"/>
              </w:rPr>
              <w:t xml:space="preserve">8.4 Why Aren’t Young People Investing?</w:t>
            </w:r>
            <w:r w:rsidDel="00000000" w:rsidR="00000000" w:rsidRPr="00000000">
              <w:rPr>
                <w:rtl w:val="0"/>
              </w:rPr>
            </w:r>
          </w:p>
          <w:p w:rsidR="00000000" w:rsidDel="00000000" w:rsidP="00000000" w:rsidRDefault="00000000" w:rsidRPr="00000000" w14:paraId="00000005">
            <w:pPr>
              <w:pStyle w:val="Heading2"/>
              <w:jc w:val="right"/>
              <w:rPr>
                <w:color w:val="999999"/>
                <w:sz w:val="28"/>
                <w:szCs w:val="28"/>
              </w:rPr>
            </w:pPr>
            <w:bookmarkStart w:colFirst="0" w:colLast="0" w:name="_3dvwjv447f92" w:id="2"/>
            <w:bookmarkEnd w:id="2"/>
            <w:r w:rsidDel="00000000" w:rsidR="00000000" w:rsidRPr="00000000">
              <w:rPr>
                <w:color w:val="999999"/>
                <w:sz w:val="28"/>
                <w:szCs w:val="28"/>
                <w:rtl w:val="0"/>
              </w:rPr>
              <w:t xml:space="preserve">Lesson Guide</w:t>
            </w:r>
          </w:p>
        </w:tc>
      </w:tr>
    </w:tbl>
    <w:p w:rsidR="00000000" w:rsidDel="00000000" w:rsidP="00000000" w:rsidRDefault="00000000" w:rsidRPr="00000000" w14:paraId="00000006">
      <w:pPr>
        <w:spacing w:line="276" w:lineRule="auto"/>
        <w:rPr/>
      </w:pPr>
      <w:r w:rsidDel="00000000" w:rsidR="00000000" w:rsidRPr="00000000">
        <w:pict>
          <v:rect style="width:0.0pt;height:1.5pt" o:hr="t" o:hrstd="t" o:hralign="center" fillcolor="#A0A0A0" stroked="f"/>
        </w:pict>
      </w: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c>
          <w:tcPr>
            <w:tcBorders>
              <w:top w:color="ffffff" w:space="0" w:sz="8" w:val="single"/>
              <w:left w:color="ffffff" w:space="0" w:sz="8" w:val="single"/>
              <w:bottom w:color="ffffff" w:space="0" w:sz="48" w:val="single"/>
              <w:right w:color="ffffff" w:space="0" w:sz="4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7">
            <w:pPr>
              <w:pStyle w:val="Heading3"/>
              <w:spacing w:after="200" w:lineRule="auto"/>
              <w:rPr>
                <w:sz w:val="28"/>
                <w:szCs w:val="28"/>
              </w:rPr>
            </w:pPr>
            <w:bookmarkStart w:colFirst="0" w:colLast="0" w:name="_m1rcodru67p" w:id="3"/>
            <w:bookmarkEnd w:id="3"/>
            <w:r w:rsidDel="00000000" w:rsidR="00000000" w:rsidRPr="00000000">
              <w:rPr>
                <w:sz w:val="28"/>
                <w:szCs w:val="28"/>
                <w:rtl w:val="0"/>
              </w:rPr>
              <w:t xml:space="preserve">Learning Objectives</w:t>
            </w:r>
          </w:p>
          <w:p w:rsidR="00000000" w:rsidDel="00000000" w:rsidP="00000000" w:rsidRDefault="00000000" w:rsidRPr="00000000" w14:paraId="00000008">
            <w:pPr>
              <w:rPr/>
            </w:pPr>
            <w:r w:rsidDel="00000000" w:rsidR="00000000" w:rsidRPr="00000000">
              <w:rPr>
                <w:rtl w:val="0"/>
              </w:rPr>
              <w:t xml:space="preserve">Students will be able to</w:t>
            </w:r>
          </w:p>
          <w:p w:rsidR="00000000" w:rsidDel="00000000" w:rsidP="00000000" w:rsidRDefault="00000000" w:rsidRPr="00000000" w14:paraId="00000009">
            <w:pPr>
              <w:numPr>
                <w:ilvl w:val="0"/>
                <w:numId w:val="11"/>
              </w:numPr>
              <w:ind w:left="720" w:hanging="360"/>
              <w:rPr/>
            </w:pPr>
            <w:r w:rsidDel="00000000" w:rsidR="00000000" w:rsidRPr="00000000">
              <w:rPr>
                <w:rtl w:val="0"/>
              </w:rPr>
              <w:t xml:space="preserve">Understand the principal reasons that young people are not investing</w:t>
            </w:r>
          </w:p>
          <w:p w:rsidR="00000000" w:rsidDel="00000000" w:rsidP="00000000" w:rsidRDefault="00000000" w:rsidRPr="00000000" w14:paraId="0000000A">
            <w:pPr>
              <w:numPr>
                <w:ilvl w:val="0"/>
                <w:numId w:val="11"/>
              </w:numPr>
              <w:ind w:left="720" w:hanging="360"/>
              <w:rPr/>
            </w:pPr>
            <w:r w:rsidDel="00000000" w:rsidR="00000000" w:rsidRPr="00000000">
              <w:rPr>
                <w:rtl w:val="0"/>
              </w:rPr>
              <w:t xml:space="preserve">Analyze data that demonstrates the cost of not investing when young</w:t>
            </w:r>
          </w:p>
          <w:p w:rsidR="00000000" w:rsidDel="00000000" w:rsidP="00000000" w:rsidRDefault="00000000" w:rsidRPr="00000000" w14:paraId="0000000B">
            <w:pPr>
              <w:numPr>
                <w:ilvl w:val="0"/>
                <w:numId w:val="11"/>
              </w:numPr>
              <w:ind w:left="720" w:hanging="360"/>
              <w:rPr/>
            </w:pPr>
            <w:r w:rsidDel="00000000" w:rsidR="00000000" w:rsidRPr="00000000">
              <w:rPr>
                <w:rtl w:val="0"/>
              </w:rPr>
              <w:t xml:space="preserve">Review historical stock market data to understand how risk changes as your time horizon increases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color w:val="0c4599"/>
                <w:sz w:val="28"/>
                <w:szCs w:val="28"/>
              </w:rPr>
            </w:pPr>
            <w:r w:rsidDel="00000000" w:rsidR="00000000" w:rsidRPr="00000000">
              <w:rPr>
                <w:b w:val="1"/>
                <w:color w:val="0c4599"/>
                <w:sz w:val="28"/>
                <w:szCs w:val="28"/>
                <w:rtl w:val="0"/>
              </w:rPr>
              <w:t xml:space="preserve">Approximate Time</w:t>
            </w:r>
          </w:p>
          <w:p w:rsidR="00000000" w:rsidDel="00000000" w:rsidP="00000000" w:rsidRDefault="00000000" w:rsidRPr="00000000" w14:paraId="0000000E">
            <w:pPr>
              <w:numPr>
                <w:ilvl w:val="0"/>
                <w:numId w:val="19"/>
              </w:numPr>
              <w:ind w:left="720" w:hanging="360"/>
              <w:rPr/>
            </w:pPr>
            <w:r w:rsidDel="00000000" w:rsidR="00000000" w:rsidRPr="00000000">
              <w:rPr>
                <w:rtl w:val="0"/>
              </w:rPr>
              <w:t xml:space="preserve">Lesson length:  45 mins</w:t>
            </w:r>
          </w:p>
        </w:tc>
        <w:tc>
          <w:tcPr>
            <w:tcBorders>
              <w:top w:color="ffffff" w:space="0" w:sz="8" w:val="single"/>
              <w:left w:color="ffffff" w:space="0" w:sz="48" w:val="single"/>
              <w:bottom w:color="ffffff" w:space="0" w:sz="4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F">
            <w:pPr>
              <w:ind w:left="90" w:firstLine="0"/>
              <w:rPr>
                <w:b w:val="1"/>
                <w:color w:val="0c4599"/>
                <w:sz w:val="28"/>
                <w:szCs w:val="28"/>
              </w:rPr>
            </w:pPr>
            <w:r w:rsidDel="00000000" w:rsidR="00000000" w:rsidRPr="00000000">
              <w:rPr>
                <w:b w:val="1"/>
                <w:color w:val="0c4599"/>
                <w:sz w:val="28"/>
                <w:szCs w:val="28"/>
                <w:rtl w:val="0"/>
              </w:rPr>
              <w:t xml:space="preserve">Jump$tart Standards</w:t>
            </w:r>
          </w:p>
          <w:p w:rsidR="00000000" w:rsidDel="00000000" w:rsidP="00000000" w:rsidRDefault="00000000" w:rsidRPr="00000000" w14:paraId="00000010">
            <w:pPr>
              <w:ind w:left="90" w:firstLine="0"/>
              <w:rPr/>
            </w:pPr>
            <w:r w:rsidDel="00000000" w:rsidR="00000000" w:rsidRPr="00000000">
              <w:rPr>
                <w:rtl w:val="0"/>
              </w:rPr>
              <w:t xml:space="preserve">Investing</w:t>
            </w:r>
          </w:p>
          <w:p w:rsidR="00000000" w:rsidDel="00000000" w:rsidP="00000000" w:rsidRDefault="00000000" w:rsidRPr="00000000" w14:paraId="00000011">
            <w:pPr>
              <w:numPr>
                <w:ilvl w:val="0"/>
                <w:numId w:val="15"/>
              </w:numPr>
              <w:ind w:left="720" w:hanging="360"/>
              <w:rPr/>
            </w:pPr>
            <w:r w:rsidDel="00000000" w:rsidR="00000000" w:rsidRPr="00000000">
              <w:rPr>
                <w:rtl w:val="0"/>
              </w:rPr>
              <w:t xml:space="preserve">1e: Compare the consequences of delaying investment for retirement and benefits of investing early.</w:t>
            </w:r>
          </w:p>
        </w:tc>
      </w:tr>
      <w:tr>
        <w:trPr>
          <w:trHeight w:val="220" w:hRule="atLeast"/>
        </w:trPr>
        <w:tc>
          <w:tcPr>
            <w:tcBorders>
              <w:top w:color="ffffff" w:space="0" w:sz="48" w:val="single"/>
              <w:left w:color="ffffff" w:space="0" w:sz="18" w:val="single"/>
              <w:bottom w:color="ffffff" w:space="0" w:sz="18" w:val="single"/>
              <w:right w:color="ffffff" w:space="0" w:sz="48" w:val="single"/>
            </w:tcBorders>
            <w:shd w:fill="f3f3f3" w:val="clear"/>
            <w:tcMar>
              <w:top w:w="100.0" w:type="dxa"/>
              <w:left w:w="100.0" w:type="dxa"/>
              <w:bottom w:w="100.0" w:type="dxa"/>
              <w:right w:w="100.0" w:type="dxa"/>
            </w:tcMar>
          </w:tcPr>
          <w:p w:rsidR="00000000" w:rsidDel="00000000" w:rsidP="00000000" w:rsidRDefault="00000000" w:rsidRPr="00000000" w14:paraId="00000012">
            <w:pPr>
              <w:rPr>
                <w:b w:val="1"/>
                <w:color w:val="f6b26b"/>
              </w:rPr>
            </w:pPr>
            <w:r w:rsidDel="00000000" w:rsidR="00000000" w:rsidRPr="00000000">
              <w:rPr>
                <w:b w:val="1"/>
                <w:color w:val="0c4599"/>
                <w:sz w:val="28"/>
                <w:szCs w:val="28"/>
                <w:rtl w:val="0"/>
              </w:rPr>
              <w:t xml:space="preserve">Distribute to Students</w:t>
            </w:r>
            <w:r w:rsidDel="00000000" w:rsidR="00000000" w:rsidRPr="00000000">
              <w:rPr>
                <w:rtl w:val="0"/>
              </w:rPr>
            </w:r>
          </w:p>
          <w:p w:rsidR="00000000" w:rsidDel="00000000" w:rsidP="00000000" w:rsidRDefault="00000000" w:rsidRPr="00000000" w14:paraId="00000013">
            <w:pPr>
              <w:numPr>
                <w:ilvl w:val="0"/>
                <w:numId w:val="12"/>
              </w:numPr>
              <w:ind w:left="720" w:hanging="360"/>
              <w:rPr/>
            </w:pPr>
            <w:hyperlink r:id="rId7">
              <w:r w:rsidDel="00000000" w:rsidR="00000000" w:rsidRPr="00000000">
                <w:rPr>
                  <w:color w:val="1155cc"/>
                  <w:u w:val="single"/>
                  <w:rtl w:val="0"/>
                </w:rPr>
                <w:t xml:space="preserve">Student Activity Packet SC-8.4</w:t>
              </w:r>
            </w:hyperlink>
            <w:r w:rsidDel="00000000" w:rsidR="00000000" w:rsidRPr="00000000">
              <w:rPr>
                <w:rtl w:val="0"/>
              </w:rPr>
            </w:r>
          </w:p>
        </w:tc>
        <w:tc>
          <w:tcPr>
            <w:tcBorders>
              <w:top w:color="ffffff" w:space="0" w:sz="48" w:val="single"/>
              <w:left w:color="ffffff" w:space="0" w:sz="4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4">
            <w:pPr>
              <w:rPr>
                <w:b w:val="1"/>
                <w:color w:val="f6b26b"/>
              </w:rPr>
            </w:pPr>
            <w:r w:rsidDel="00000000" w:rsidR="00000000" w:rsidRPr="00000000">
              <w:rPr>
                <w:b w:val="1"/>
                <w:color w:val="0c4599"/>
                <w:sz w:val="28"/>
                <w:szCs w:val="28"/>
                <w:rtl w:val="0"/>
              </w:rPr>
              <w:t xml:space="preserve"> Plan Your Unit</w:t>
            </w:r>
            <w:r w:rsidDel="00000000" w:rsidR="00000000" w:rsidRPr="00000000">
              <w:rPr>
                <w:rtl w:val="0"/>
              </w:rPr>
            </w:r>
          </w:p>
          <w:p w:rsidR="00000000" w:rsidDel="00000000" w:rsidP="00000000" w:rsidRDefault="00000000" w:rsidRPr="00000000" w14:paraId="00000015">
            <w:pPr>
              <w:numPr>
                <w:ilvl w:val="0"/>
                <w:numId w:val="1"/>
              </w:numPr>
              <w:ind w:left="720" w:hanging="360"/>
              <w:rPr/>
            </w:pPr>
            <w:hyperlink r:id="rId8">
              <w:r w:rsidDel="00000000" w:rsidR="00000000" w:rsidRPr="00000000">
                <w:rPr>
                  <w:color w:val="1155cc"/>
                  <w:u w:val="single"/>
                  <w:rtl w:val="0"/>
                </w:rPr>
                <w:t xml:space="preserve">Semester Course Investing Unit Plan </w:t>
              </w:r>
            </w:hyperlink>
            <w:r w:rsidDel="00000000" w:rsidR="00000000" w:rsidRPr="00000000">
              <w:rPr>
                <w:rtl w:val="0"/>
              </w:rPr>
            </w:r>
          </w:p>
        </w:tc>
      </w:tr>
    </w:tbl>
    <w:p w:rsidR="00000000" w:rsidDel="00000000" w:rsidP="00000000" w:rsidRDefault="00000000" w:rsidRPr="00000000" w14:paraId="00000016">
      <w:pPr>
        <w:pStyle w:val="Heading3"/>
        <w:rPr/>
      </w:pPr>
      <w:bookmarkStart w:colFirst="0" w:colLast="0" w:name="_rl6l1xnv7ge1"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rPr/>
      </w:pPr>
      <w:bookmarkStart w:colFirst="0" w:colLast="0" w:name="_5lteoxe12vyl" w:id="5"/>
      <w:bookmarkEnd w:id="5"/>
      <w:r w:rsidDel="00000000" w:rsidR="00000000" w:rsidRPr="00000000">
        <w:rPr>
          <w:rtl w:val="0"/>
        </w:rPr>
        <w:tab/>
      </w:r>
    </w:p>
    <w:tbl>
      <w:tblPr>
        <w:tblStyle w:val="Table3"/>
        <w:tblW w:w="10770.0" w:type="dxa"/>
        <w:jc w:val="left"/>
        <w:tblInd w:w="99.36" w:type="pc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720"/>
        <w:gridCol w:w="3060"/>
        <w:gridCol w:w="5865"/>
        <w:gridCol w:w="1125"/>
        <w:tblGridChange w:id="0">
          <w:tblGrid>
            <w:gridCol w:w="720"/>
            <w:gridCol w:w="3060"/>
            <w:gridCol w:w="5865"/>
            <w:gridCol w:w="1125"/>
          </w:tblGrid>
        </w:tblGridChange>
      </w:tblGrid>
      <w:tr>
        <w:trPr>
          <w:trHeight w:val="420" w:hRule="atLeast"/>
        </w:trPr>
        <w:tc>
          <w:tcPr>
            <w:tcBorders>
              <w:right w:color="f6b26b" w:space="0" w:sz="8" w:val="single"/>
            </w:tcBorders>
            <w:shd w:fill="f6b26b" w:val="clear"/>
            <w:tcMar>
              <w:top w:w="99.36" w:type="dxa"/>
              <w:left w:w="99.36" w:type="dxa"/>
              <w:bottom w:w="99.36" w:type="dxa"/>
              <w:right w:w="99.36" w:type="dxa"/>
            </w:tcMar>
            <w:vAlign w:val="center"/>
          </w:tcPr>
          <w:p w:rsidR="00000000" w:rsidDel="00000000" w:rsidP="00000000" w:rsidRDefault="00000000" w:rsidRPr="00000000" w14:paraId="00000018">
            <w:pPr>
              <w:rPr>
                <w:b w:val="1"/>
              </w:rPr>
            </w:pPr>
            <w:r w:rsidDel="00000000" w:rsidR="00000000" w:rsidRPr="00000000">
              <w:rPr/>
              <w:drawing>
                <wp:inline distB="114300" distT="114300" distL="114300" distR="114300">
                  <wp:extent cx="365125" cy="352425"/>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65125" cy="352425"/>
                          </a:xfrm>
                          <a:prstGeom prst="rect"/>
                          <a:ln/>
                        </pic:spPr>
                      </pic:pic>
                    </a:graphicData>
                  </a:graphic>
                </wp:inline>
              </w:drawing>
            </w:r>
            <w:r w:rsidDel="00000000" w:rsidR="00000000" w:rsidRPr="00000000">
              <w:rPr>
                <w:rtl w:val="0"/>
              </w:rPr>
            </w:r>
          </w:p>
        </w:tc>
        <w:tc>
          <w:tcPr>
            <w:tcBorders>
              <w:left w:color="f6b26b" w:space="0" w:sz="8" w:val="single"/>
              <w:right w:color="f6b26b" w:space="0" w:sz="8" w:val="single"/>
            </w:tcBorders>
            <w:shd w:fill="f6b26b" w:val="clear"/>
            <w:tcMar>
              <w:top w:w="99.36" w:type="dxa"/>
              <w:left w:w="99.36" w:type="dxa"/>
              <w:bottom w:w="99.36" w:type="dxa"/>
              <w:right w:w="99.36" w:type="dxa"/>
            </w:tcMar>
            <w:vAlign w:val="center"/>
          </w:tcPr>
          <w:p w:rsidR="00000000" w:rsidDel="00000000" w:rsidP="00000000" w:rsidRDefault="00000000" w:rsidRPr="00000000" w14:paraId="00000019">
            <w:pPr>
              <w:pStyle w:val="Heading3"/>
              <w:rPr>
                <w:color w:val="ffffff"/>
              </w:rPr>
            </w:pPr>
            <w:bookmarkStart w:colFirst="0" w:colLast="0" w:name="_970f6yi24kkp" w:id="6"/>
            <w:bookmarkEnd w:id="6"/>
            <w:r w:rsidDel="00000000" w:rsidR="00000000" w:rsidRPr="00000000">
              <w:rPr>
                <w:color w:val="ffffff"/>
                <w:sz w:val="28"/>
                <w:szCs w:val="28"/>
                <w:rtl w:val="0"/>
              </w:rPr>
              <w:t xml:space="preserve">LESSON PLAN</w:t>
            </w:r>
            <w:r w:rsidDel="00000000" w:rsidR="00000000" w:rsidRPr="00000000">
              <w:rPr>
                <w:rtl w:val="0"/>
              </w:rPr>
            </w:r>
          </w:p>
        </w:tc>
        <w:tc>
          <w:tcPr>
            <w:tcBorders>
              <w:left w:color="f6b26b" w:space="0" w:sz="8" w:val="single"/>
              <w:right w:color="f6b26b" w:space="0" w:sz="8" w:val="single"/>
            </w:tcBorders>
            <w:shd w:fill="f6b26b" w:val="clear"/>
            <w:tcMar>
              <w:top w:w="99.36" w:type="dxa"/>
              <w:left w:w="99.36" w:type="dxa"/>
              <w:bottom w:w="99.36" w:type="dxa"/>
              <w:right w:w="99.36" w:type="dxa"/>
            </w:tcMar>
            <w:vAlign w:val="center"/>
          </w:tcPr>
          <w:p w:rsidR="00000000" w:rsidDel="00000000" w:rsidP="00000000" w:rsidRDefault="00000000" w:rsidRPr="00000000" w14:paraId="0000001A">
            <w:pPr>
              <w:pStyle w:val="Heading4"/>
              <w:rPr>
                <w:b w:val="1"/>
                <w:i w:val="0"/>
              </w:rPr>
            </w:pPr>
            <w:bookmarkStart w:colFirst="0" w:colLast="0" w:name="_feohb6rjg4o" w:id="7"/>
            <w:bookmarkEnd w:id="7"/>
            <w:r w:rsidDel="00000000" w:rsidR="00000000" w:rsidRPr="00000000">
              <w:rPr>
                <w:rtl w:val="0"/>
              </w:rPr>
            </w:r>
          </w:p>
        </w:tc>
        <w:tc>
          <w:tcPr>
            <w:tcBorders>
              <w:left w:color="f6b26b" w:space="0" w:sz="8" w:val="single"/>
            </w:tcBorders>
            <w:shd w:fill="f6b26b" w:val="clear"/>
            <w:tcMar>
              <w:top w:w="99.36" w:type="dxa"/>
              <w:left w:w="99.36" w:type="dxa"/>
              <w:bottom w:w="99.36" w:type="dxa"/>
              <w:right w:w="99.36" w:type="dxa"/>
            </w:tcMar>
            <w:vAlign w:val="center"/>
          </w:tcPr>
          <w:p w:rsidR="00000000" w:rsidDel="00000000" w:rsidP="00000000" w:rsidRDefault="00000000" w:rsidRPr="00000000" w14:paraId="0000001B">
            <w:pPr>
              <w:pStyle w:val="Heading4"/>
              <w:rPr>
                <w:b w:val="1"/>
                <w:i w:val="0"/>
              </w:rPr>
            </w:pPr>
            <w:bookmarkStart w:colFirst="0" w:colLast="0" w:name="_wv5lvzfic7u" w:id="8"/>
            <w:bookmarkEnd w:id="8"/>
            <w:r w:rsidDel="00000000" w:rsidR="00000000" w:rsidRPr="00000000">
              <w:rPr>
                <w:rtl w:val="0"/>
              </w:rPr>
            </w:r>
          </w:p>
        </w:tc>
      </w:tr>
      <w:tr>
        <w:trPr>
          <w:trHeight w:val="420" w:hRule="atLeast"/>
        </w:trPr>
        <w:tc>
          <w:tcPr>
            <w:shd w:fill="f3f3f3" w:val="clear"/>
            <w:tcMar>
              <w:top w:w="99.36" w:type="dxa"/>
              <w:left w:w="99.36" w:type="dxa"/>
              <w:bottom w:w="99.36" w:type="dxa"/>
              <w:right w:w="99.36" w:type="dxa"/>
            </w:tcMar>
            <w:vAlign w:val="center"/>
          </w:tcPr>
          <w:p w:rsidR="00000000" w:rsidDel="00000000" w:rsidP="00000000" w:rsidRDefault="00000000" w:rsidRPr="00000000" w14:paraId="0000001C">
            <w:pPr>
              <w:jc w:val="center"/>
              <w:rPr>
                <w:b w:val="1"/>
              </w:rPr>
            </w:pPr>
            <w:r w:rsidDel="00000000" w:rsidR="00000000" w:rsidRPr="00000000">
              <w:rPr>
                <w:rtl w:val="0"/>
              </w:rPr>
            </w:r>
          </w:p>
        </w:tc>
        <w:tc>
          <w:tcPr>
            <w:shd w:fill="f3f3f3" w:val="clear"/>
            <w:tcMar>
              <w:top w:w="99.36" w:type="dxa"/>
              <w:left w:w="99.36" w:type="dxa"/>
              <w:bottom w:w="99.36" w:type="dxa"/>
              <w:right w:w="99.36" w:type="dxa"/>
            </w:tcMar>
            <w:vAlign w:val="center"/>
          </w:tcPr>
          <w:p w:rsidR="00000000" w:rsidDel="00000000" w:rsidP="00000000" w:rsidRDefault="00000000" w:rsidRPr="00000000" w14:paraId="0000001D">
            <w:pPr>
              <w:pStyle w:val="Heading4"/>
              <w:rPr>
                <w:b w:val="1"/>
                <w:i w:val="0"/>
              </w:rPr>
            </w:pPr>
            <w:bookmarkStart w:colFirst="0" w:colLast="0" w:name="_olh4adh4w7ya" w:id="9"/>
            <w:bookmarkEnd w:id="9"/>
            <w:r w:rsidDel="00000000" w:rsidR="00000000" w:rsidRPr="00000000">
              <w:rPr>
                <w:b w:val="1"/>
                <w:i w:val="0"/>
                <w:rtl w:val="0"/>
              </w:rPr>
              <w:t xml:space="preserve">Resources </w:t>
            </w:r>
          </w:p>
        </w:tc>
        <w:tc>
          <w:tcPr>
            <w:shd w:fill="f3f3f3" w:val="clear"/>
            <w:tcMar>
              <w:top w:w="99.36" w:type="dxa"/>
              <w:left w:w="99.36" w:type="dxa"/>
              <w:bottom w:w="99.36" w:type="dxa"/>
              <w:right w:w="99.36" w:type="dxa"/>
            </w:tcMar>
            <w:vAlign w:val="center"/>
          </w:tcPr>
          <w:p w:rsidR="00000000" w:rsidDel="00000000" w:rsidP="00000000" w:rsidRDefault="00000000" w:rsidRPr="00000000" w14:paraId="0000001E">
            <w:pPr>
              <w:pStyle w:val="Heading4"/>
              <w:rPr>
                <w:b w:val="1"/>
                <w:i w:val="0"/>
              </w:rPr>
            </w:pPr>
            <w:bookmarkStart w:colFirst="0" w:colLast="0" w:name="_feohb6rjg4o" w:id="7"/>
            <w:bookmarkEnd w:id="7"/>
            <w:r w:rsidDel="00000000" w:rsidR="00000000" w:rsidRPr="00000000">
              <w:rPr>
                <w:b w:val="1"/>
                <w:i w:val="0"/>
                <w:rtl w:val="0"/>
              </w:rPr>
              <w:t xml:space="preserve">Questions</w:t>
            </w:r>
          </w:p>
        </w:tc>
        <w:tc>
          <w:tcPr>
            <w:shd w:fill="f3f3f3" w:val="clear"/>
            <w:tcMar>
              <w:top w:w="99.36" w:type="dxa"/>
              <w:left w:w="99.36" w:type="dxa"/>
              <w:bottom w:w="99.36" w:type="dxa"/>
              <w:right w:w="99.36" w:type="dxa"/>
            </w:tcMar>
            <w:vAlign w:val="center"/>
          </w:tcPr>
          <w:p w:rsidR="00000000" w:rsidDel="00000000" w:rsidP="00000000" w:rsidRDefault="00000000" w:rsidRPr="00000000" w14:paraId="0000001F">
            <w:pPr>
              <w:pStyle w:val="Heading4"/>
              <w:rPr>
                <w:b w:val="1"/>
                <w:i w:val="0"/>
              </w:rPr>
            </w:pPr>
            <w:bookmarkStart w:colFirst="0" w:colLast="0" w:name="_wv5lvzfic7u" w:id="8"/>
            <w:bookmarkEnd w:id="8"/>
            <w:r w:rsidDel="00000000" w:rsidR="00000000" w:rsidRPr="00000000">
              <w:rPr>
                <w:b w:val="1"/>
                <w:i w:val="0"/>
                <w:rtl w:val="0"/>
              </w:rPr>
              <w:t xml:space="preserve">Est. Time</w:t>
            </w:r>
          </w:p>
        </w:tc>
      </w:tr>
      <w:tr>
        <w:tc>
          <w:tcPr>
            <w:shd w:fill="ffffff" w:val="clear"/>
            <w:tcMar>
              <w:top w:w="99.36" w:type="dxa"/>
              <w:left w:w="99.36" w:type="dxa"/>
              <w:bottom w:w="99.36" w:type="dxa"/>
              <w:right w:w="99.36" w:type="dxa"/>
            </w:tcMar>
            <w:vAlign w:val="top"/>
          </w:tcPr>
          <w:p w:rsidR="00000000" w:rsidDel="00000000" w:rsidP="00000000" w:rsidRDefault="00000000" w:rsidRPr="00000000" w14:paraId="00000020">
            <w:pPr>
              <w:pStyle w:val="Heading2"/>
              <w:jc w:val="center"/>
              <w:rPr/>
            </w:pPr>
            <w:bookmarkStart w:colFirst="0" w:colLast="0" w:name="_2hd2wptga9j" w:id="10"/>
            <w:bookmarkEnd w:id="10"/>
            <w:r w:rsidDel="00000000" w:rsidR="00000000" w:rsidRPr="00000000">
              <w:rPr>
                <w:rtl w:val="0"/>
              </w:rPr>
              <w:t xml:space="preserve">1</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21">
            <w:pPr>
              <w:rPr/>
            </w:pPr>
            <w:hyperlink r:id="rId10">
              <w:r w:rsidDel="00000000" w:rsidR="00000000" w:rsidRPr="00000000">
                <w:rPr>
                  <w:color w:val="1155cc"/>
                  <w:u w:val="single"/>
                  <w:rtl w:val="0"/>
                </w:rPr>
                <w:t xml:space="preserve">DISCUSSION PROMPTS</w:t>
              </w:r>
            </w:hyperlink>
            <w:r w:rsidDel="00000000" w:rsidR="00000000" w:rsidRPr="00000000">
              <w:rPr>
                <w:rtl w:val="0"/>
              </w:rPr>
            </w:r>
          </w:p>
        </w:tc>
        <w:tc>
          <w:tcPr>
            <w:shd w:fill="ffffff" w:val="clear"/>
            <w:tcMar>
              <w:top w:w="99.36" w:type="dxa"/>
              <w:left w:w="99.36" w:type="dxa"/>
              <w:bottom w:w="99.36" w:type="dxa"/>
              <w:right w:w="99.36" w:type="dxa"/>
            </w:tcMar>
            <w:vAlign w:val="top"/>
          </w:tcPr>
          <w:p w:rsidR="00000000" w:rsidDel="00000000" w:rsidP="00000000" w:rsidRDefault="00000000" w:rsidRPr="00000000" w14:paraId="00000022">
            <w:pPr>
              <w:rPr>
                <w:b w:val="1"/>
              </w:rPr>
            </w:pPr>
            <w:r w:rsidDel="00000000" w:rsidR="00000000" w:rsidRPr="00000000">
              <w:rPr>
                <w:b w:val="1"/>
                <w:rtl w:val="0"/>
              </w:rPr>
              <w:t xml:space="preserve">Discussion Prompts</w:t>
            </w:r>
          </w:p>
          <w:p w:rsidR="00000000" w:rsidDel="00000000" w:rsidP="00000000" w:rsidRDefault="00000000" w:rsidRPr="00000000" w14:paraId="00000023">
            <w:pPr>
              <w:rPr/>
            </w:pPr>
            <w:r w:rsidDel="00000000" w:rsidR="00000000" w:rsidRPr="00000000">
              <w:rPr>
                <w:rtl w:val="0"/>
              </w:rPr>
              <w:t xml:space="preserve">Discuss these questions with your classmates or with a partner.</w:t>
            </w:r>
          </w:p>
          <w:p w:rsidR="00000000" w:rsidDel="00000000" w:rsidP="00000000" w:rsidRDefault="00000000" w:rsidRPr="00000000" w14:paraId="00000024">
            <w:pPr>
              <w:spacing w:line="276" w:lineRule="auto"/>
              <w:ind w:left="720" w:firstLine="0"/>
              <w:rPr/>
            </w:pPr>
            <w:r w:rsidDel="00000000" w:rsidR="00000000" w:rsidRPr="00000000">
              <w:rPr>
                <w:rtl w:val="0"/>
              </w:rPr>
              <w:t xml:space="preserve">Do you plan on investing in the stock market when you are in your early 20s? Why or why not? </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25">
            <w:pPr>
              <w:rPr/>
            </w:pPr>
            <w:r w:rsidDel="00000000" w:rsidR="00000000" w:rsidRPr="00000000">
              <w:rPr>
                <w:rtl w:val="0"/>
              </w:rPr>
              <w:t xml:space="preserve">5 mins</w:t>
            </w:r>
          </w:p>
        </w:tc>
      </w:tr>
      <w:tr>
        <w:tc>
          <w:tcPr>
            <w:shd w:fill="f3f3f3" w:val="clear"/>
            <w:tcMar>
              <w:top w:w="99.36" w:type="dxa"/>
              <w:left w:w="99.36" w:type="dxa"/>
              <w:bottom w:w="99.36" w:type="dxa"/>
              <w:right w:w="99.36" w:type="dxa"/>
            </w:tcMar>
            <w:vAlign w:val="top"/>
          </w:tcPr>
          <w:p w:rsidR="00000000" w:rsidDel="00000000" w:rsidP="00000000" w:rsidRDefault="00000000" w:rsidRPr="00000000" w14:paraId="00000026">
            <w:pPr>
              <w:pStyle w:val="Heading2"/>
              <w:jc w:val="center"/>
              <w:rPr/>
            </w:pPr>
            <w:bookmarkStart w:colFirst="0" w:colLast="0" w:name="_j1tcdx4kkn28" w:id="11"/>
            <w:bookmarkEnd w:id="11"/>
            <w:r w:rsidDel="00000000" w:rsidR="00000000" w:rsidRPr="00000000">
              <w:rPr>
                <w:rtl w:val="0"/>
              </w:rPr>
              <w:t xml:space="preserve">2</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27">
            <w:pPr>
              <w:rPr/>
            </w:pPr>
            <w:r w:rsidDel="00000000" w:rsidR="00000000" w:rsidRPr="00000000">
              <w:rPr>
                <w:rtl w:val="0"/>
              </w:rPr>
              <w:t xml:space="preserve">ARTICLE</w:t>
            </w:r>
          </w:p>
          <w:p w:rsidR="00000000" w:rsidDel="00000000" w:rsidP="00000000" w:rsidRDefault="00000000" w:rsidRPr="00000000" w14:paraId="00000028">
            <w:pPr>
              <w:numPr>
                <w:ilvl w:val="0"/>
                <w:numId w:val="20"/>
              </w:numPr>
              <w:ind w:left="720" w:hanging="360"/>
              <w:rPr/>
            </w:pPr>
            <w:hyperlink r:id="rId11">
              <w:r w:rsidDel="00000000" w:rsidR="00000000" w:rsidRPr="00000000">
                <w:rPr>
                  <w:color w:val="1155cc"/>
                  <w:u w:val="single"/>
                  <w:rtl w:val="0"/>
                </w:rPr>
                <w:t xml:space="preserve">Millennials Slow to Start Investing in the Stock Market</w:t>
              </w:r>
            </w:hyperlink>
            <w:r w:rsidDel="00000000" w:rsidR="00000000" w:rsidRPr="00000000">
              <w:rPr>
                <w:rtl w:val="0"/>
              </w:rPr>
            </w:r>
          </w:p>
          <w:p w:rsidR="00000000" w:rsidDel="00000000" w:rsidP="00000000" w:rsidRDefault="00000000" w:rsidRPr="00000000" w14:paraId="00000029">
            <w:pPr>
              <w:numPr>
                <w:ilvl w:val="0"/>
                <w:numId w:val="20"/>
              </w:numPr>
              <w:ind w:left="720" w:hanging="360"/>
              <w:rPr/>
            </w:pPr>
            <w:r w:rsidDel="00000000" w:rsidR="00000000" w:rsidRPr="00000000">
              <w:rPr>
                <w:rtl w:val="0"/>
              </w:rPr>
              <w:t xml:space="preserve">Publisher: Bankrate</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2A">
            <w:pPr>
              <w:rPr>
                <w:b w:val="1"/>
              </w:rPr>
            </w:pPr>
            <w:r w:rsidDel="00000000" w:rsidR="00000000" w:rsidRPr="00000000">
              <w:rPr>
                <w:b w:val="1"/>
                <w:rtl w:val="0"/>
              </w:rPr>
              <w:t xml:space="preserve">Millennials Slow to Start Investing in the Stock Market</w:t>
            </w:r>
          </w:p>
          <w:p w:rsidR="00000000" w:rsidDel="00000000" w:rsidP="00000000" w:rsidRDefault="00000000" w:rsidRPr="00000000" w14:paraId="0000002B">
            <w:pPr>
              <w:rPr/>
            </w:pPr>
            <w:r w:rsidDel="00000000" w:rsidR="00000000" w:rsidRPr="00000000">
              <w:rPr>
                <w:rtl w:val="0"/>
              </w:rPr>
              <w:t xml:space="preserve">Based on what you learned earlier about compound interest, you know the importance of starting to invest at a young age. Read this article to find out why young people don’t seem to be heeding this advice and answer these questions:</w:t>
            </w:r>
          </w:p>
          <w:p w:rsidR="00000000" w:rsidDel="00000000" w:rsidP="00000000" w:rsidRDefault="00000000" w:rsidRPr="00000000" w14:paraId="0000002C">
            <w:pPr>
              <w:numPr>
                <w:ilvl w:val="0"/>
                <w:numId w:val="2"/>
              </w:numPr>
              <w:spacing w:line="276" w:lineRule="auto"/>
              <w:ind w:left="720" w:hanging="360"/>
              <w:rPr/>
            </w:pPr>
            <w:r w:rsidDel="00000000" w:rsidR="00000000" w:rsidRPr="00000000">
              <w:rPr>
                <w:rtl w:val="0"/>
              </w:rPr>
              <w:t xml:space="preserve">Based on this survey, what percentage of 18-25 year olds are investing in the stock market?</w:t>
            </w:r>
          </w:p>
          <w:p w:rsidR="00000000" w:rsidDel="00000000" w:rsidP="00000000" w:rsidRDefault="00000000" w:rsidRPr="00000000" w14:paraId="0000002D">
            <w:pPr>
              <w:numPr>
                <w:ilvl w:val="0"/>
                <w:numId w:val="2"/>
              </w:numPr>
              <w:spacing w:line="276" w:lineRule="auto"/>
              <w:ind w:left="720" w:hanging="360"/>
              <w:rPr/>
            </w:pPr>
            <w:r w:rsidDel="00000000" w:rsidR="00000000" w:rsidRPr="00000000">
              <w:rPr>
                <w:rtl w:val="0"/>
              </w:rPr>
              <w:t xml:space="preserve">What are </w:t>
            </w:r>
            <w:r w:rsidDel="00000000" w:rsidR="00000000" w:rsidRPr="00000000">
              <w:rPr>
                <w:u w:val="single"/>
                <w:rtl w:val="0"/>
              </w:rPr>
              <w:t xml:space="preserve">four</w:t>
            </w:r>
            <w:r w:rsidDel="00000000" w:rsidR="00000000" w:rsidRPr="00000000">
              <w:rPr>
                <w:rtl w:val="0"/>
              </w:rPr>
              <w:t xml:space="preserve"> of the reasons that explain why they aren’t investing? Circle the reason that you can relate to most.</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2E">
            <w:pPr>
              <w:rPr/>
            </w:pPr>
            <w:r w:rsidDel="00000000" w:rsidR="00000000" w:rsidRPr="00000000">
              <w:rPr>
                <w:rtl w:val="0"/>
              </w:rPr>
              <w:t xml:space="preserve">10 mins</w:t>
            </w:r>
          </w:p>
        </w:tc>
      </w:tr>
      <w:tr>
        <w:tc>
          <w:tcPr>
            <w:shd w:fill="ffffff" w:val="clear"/>
            <w:tcMar>
              <w:top w:w="99.36" w:type="dxa"/>
              <w:left w:w="99.36" w:type="dxa"/>
              <w:bottom w:w="99.36" w:type="dxa"/>
              <w:right w:w="99.36" w:type="dxa"/>
            </w:tcMar>
            <w:vAlign w:val="top"/>
          </w:tcPr>
          <w:p w:rsidR="00000000" w:rsidDel="00000000" w:rsidP="00000000" w:rsidRDefault="00000000" w:rsidRPr="00000000" w14:paraId="0000002F">
            <w:pPr>
              <w:pStyle w:val="Heading2"/>
              <w:jc w:val="center"/>
              <w:rPr/>
            </w:pPr>
            <w:bookmarkStart w:colFirst="0" w:colLast="0" w:name="_78iq59wub0lt" w:id="12"/>
            <w:bookmarkEnd w:id="12"/>
            <w:r w:rsidDel="00000000" w:rsidR="00000000" w:rsidRPr="00000000">
              <w:rPr>
                <w:rtl w:val="0"/>
              </w:rPr>
              <w:t xml:space="preserve">3</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30">
            <w:pPr>
              <w:rPr/>
            </w:pPr>
            <w:r w:rsidDel="00000000" w:rsidR="00000000" w:rsidRPr="00000000">
              <w:rPr>
                <w:rtl w:val="0"/>
              </w:rPr>
              <w:t xml:space="preserve">REFERENCE</w:t>
            </w:r>
            <w:r w:rsidDel="00000000" w:rsidR="00000000" w:rsidRPr="00000000">
              <w:rPr>
                <w:rtl w:val="0"/>
              </w:rPr>
            </w:r>
          </w:p>
          <w:p w:rsidR="00000000" w:rsidDel="00000000" w:rsidP="00000000" w:rsidRDefault="00000000" w:rsidRPr="00000000" w14:paraId="00000031">
            <w:pPr>
              <w:numPr>
                <w:ilvl w:val="0"/>
                <w:numId w:val="3"/>
              </w:numPr>
              <w:ind w:left="720" w:hanging="360"/>
              <w:rPr/>
            </w:pPr>
            <w:hyperlink r:id="rId12">
              <w:r w:rsidDel="00000000" w:rsidR="00000000" w:rsidRPr="00000000">
                <w:rPr>
                  <w:color w:val="1155cc"/>
                  <w:u w:val="single"/>
                  <w:rtl w:val="0"/>
                </w:rPr>
                <w:t xml:space="preserve">Millennials: The Cost of Waiting</w:t>
              </w:r>
            </w:hyperlink>
            <w:r w:rsidDel="00000000" w:rsidR="00000000" w:rsidRPr="00000000">
              <w:rPr>
                <w:rtl w:val="0"/>
              </w:rPr>
            </w:r>
          </w:p>
          <w:p w:rsidR="00000000" w:rsidDel="00000000" w:rsidP="00000000" w:rsidRDefault="00000000" w:rsidRPr="00000000" w14:paraId="00000032">
            <w:pPr>
              <w:numPr>
                <w:ilvl w:val="0"/>
                <w:numId w:val="3"/>
              </w:numPr>
              <w:ind w:left="720" w:hanging="360"/>
              <w:rPr/>
            </w:pPr>
            <w:r w:rsidDel="00000000" w:rsidR="00000000" w:rsidRPr="00000000">
              <w:rPr>
                <w:rtl w:val="0"/>
              </w:rPr>
              <w:t xml:space="preserve">Publisher: USA Today</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33">
            <w:pPr>
              <w:rPr>
                <w:b w:val="1"/>
              </w:rPr>
            </w:pPr>
            <w:r w:rsidDel="00000000" w:rsidR="00000000" w:rsidRPr="00000000">
              <w:rPr>
                <w:b w:val="1"/>
                <w:rtl w:val="0"/>
              </w:rPr>
              <w:t xml:space="preserve">Millennials: The Cost of Waiting</w:t>
            </w:r>
          </w:p>
          <w:p w:rsidR="00000000" w:rsidDel="00000000" w:rsidP="00000000" w:rsidRDefault="00000000" w:rsidRPr="00000000" w14:paraId="00000034">
            <w:pPr>
              <w:rPr/>
            </w:pPr>
            <w:r w:rsidDel="00000000" w:rsidR="00000000" w:rsidRPr="00000000">
              <w:rPr>
                <w:rtl w:val="0"/>
              </w:rPr>
              <w:t xml:space="preserve">Many young people believe that since they are young they have plenty of time to invest. This chart might convince you otherwise. Use the chart to answer these questions:</w:t>
            </w:r>
          </w:p>
          <w:p w:rsidR="00000000" w:rsidDel="00000000" w:rsidP="00000000" w:rsidRDefault="00000000" w:rsidRPr="00000000" w14:paraId="00000035">
            <w:pPr>
              <w:numPr>
                <w:ilvl w:val="0"/>
                <w:numId w:val="8"/>
              </w:numPr>
              <w:spacing w:line="276" w:lineRule="auto"/>
              <w:ind w:left="720" w:hanging="360"/>
              <w:rPr/>
            </w:pPr>
            <w:r w:rsidDel="00000000" w:rsidR="00000000" w:rsidRPr="00000000">
              <w:rPr>
                <w:rtl w:val="0"/>
              </w:rPr>
              <w:t xml:space="preserve">Your friend says “Why invest now? That’s something for older people to worry about.” Using data from the chart, make a persuasive argument to change his mind. </w:t>
            </w:r>
          </w:p>
          <w:p w:rsidR="00000000" w:rsidDel="00000000" w:rsidP="00000000" w:rsidRDefault="00000000" w:rsidRPr="00000000" w14:paraId="00000036">
            <w:pPr>
              <w:numPr>
                <w:ilvl w:val="0"/>
                <w:numId w:val="8"/>
              </w:numPr>
              <w:spacing w:line="276" w:lineRule="auto"/>
              <w:ind w:left="720" w:hanging="360"/>
              <w:rPr/>
            </w:pPr>
            <w:r w:rsidDel="00000000" w:rsidR="00000000" w:rsidRPr="00000000">
              <w:rPr>
                <w:rtl w:val="0"/>
              </w:rPr>
              <w:t xml:space="preserve">The chart assumes a 7% annual investment return. Given what you know about interest on savings accounts and the returns for stock market investments, how do you think you would need to invest to earn that 7% return? </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37">
            <w:pPr>
              <w:rPr/>
            </w:pPr>
            <w:r w:rsidDel="00000000" w:rsidR="00000000" w:rsidRPr="00000000">
              <w:rPr>
                <w:rtl w:val="0"/>
              </w:rPr>
              <w:t xml:space="preserve">5 mins</w:t>
            </w:r>
          </w:p>
        </w:tc>
      </w:tr>
      <w:tr>
        <w:tc>
          <w:tcPr>
            <w:shd w:fill="f3f3f3" w:val="clear"/>
            <w:tcMar>
              <w:top w:w="99.36" w:type="dxa"/>
              <w:left w:w="99.36" w:type="dxa"/>
              <w:bottom w:w="99.36" w:type="dxa"/>
              <w:right w:w="99.36" w:type="dxa"/>
            </w:tcMar>
            <w:vAlign w:val="top"/>
          </w:tcPr>
          <w:p w:rsidR="00000000" w:rsidDel="00000000" w:rsidP="00000000" w:rsidRDefault="00000000" w:rsidRPr="00000000" w14:paraId="00000038">
            <w:pPr>
              <w:pStyle w:val="Heading2"/>
              <w:jc w:val="center"/>
              <w:rPr/>
            </w:pPr>
            <w:bookmarkStart w:colFirst="0" w:colLast="0" w:name="_ejat236aqqh8" w:id="13"/>
            <w:bookmarkEnd w:id="13"/>
            <w:r w:rsidDel="00000000" w:rsidR="00000000" w:rsidRPr="00000000">
              <w:rPr>
                <w:rtl w:val="0"/>
              </w:rPr>
              <w:t xml:space="preserve">4</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39">
            <w:pPr>
              <w:rPr/>
            </w:pPr>
            <w:r w:rsidDel="00000000" w:rsidR="00000000" w:rsidRPr="00000000">
              <w:rPr>
                <w:rtl w:val="0"/>
              </w:rPr>
              <w:t xml:space="preserve">REFERENCE</w:t>
            </w:r>
          </w:p>
          <w:p w:rsidR="00000000" w:rsidDel="00000000" w:rsidP="00000000" w:rsidRDefault="00000000" w:rsidRPr="00000000" w14:paraId="0000003A">
            <w:pPr>
              <w:numPr>
                <w:ilvl w:val="0"/>
                <w:numId w:val="7"/>
              </w:numPr>
              <w:ind w:left="720" w:hanging="360"/>
              <w:rPr/>
            </w:pPr>
            <w:hyperlink r:id="rId13">
              <w:r w:rsidDel="00000000" w:rsidR="00000000" w:rsidRPr="00000000">
                <w:rPr>
                  <w:color w:val="1155cc"/>
                  <w:u w:val="single"/>
                  <w:rtl w:val="0"/>
                </w:rPr>
                <w:t xml:space="preserve">The Stock Market’s Positive Returns: 1871-2014 </w:t>
              </w:r>
            </w:hyperlink>
            <w:r w:rsidDel="00000000" w:rsidR="00000000" w:rsidRPr="00000000">
              <w:rPr>
                <w:rtl w:val="0"/>
              </w:rPr>
            </w:r>
          </w:p>
          <w:p w:rsidR="00000000" w:rsidDel="00000000" w:rsidP="00000000" w:rsidRDefault="00000000" w:rsidRPr="00000000" w14:paraId="0000003B">
            <w:pPr>
              <w:numPr>
                <w:ilvl w:val="0"/>
                <w:numId w:val="7"/>
              </w:numPr>
              <w:ind w:left="720" w:hanging="360"/>
              <w:rPr/>
            </w:pPr>
            <w:r w:rsidDel="00000000" w:rsidR="00000000" w:rsidRPr="00000000">
              <w:rPr>
                <w:rtl w:val="0"/>
              </w:rPr>
              <w:t xml:space="preserve">Publisher: WisdomTree Asset Management</w:t>
            </w:r>
          </w:p>
          <w:p w:rsidR="00000000" w:rsidDel="00000000" w:rsidP="00000000" w:rsidRDefault="00000000" w:rsidRPr="00000000" w14:paraId="0000003C">
            <w:pPr>
              <w:rPr/>
            </w:pP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3D">
            <w:pPr>
              <w:rPr>
                <w:b w:val="1"/>
              </w:rPr>
            </w:pPr>
            <w:r w:rsidDel="00000000" w:rsidR="00000000" w:rsidRPr="00000000">
              <w:rPr>
                <w:b w:val="1"/>
                <w:rtl w:val="0"/>
              </w:rPr>
              <w:t xml:space="preserve">The Stock Market’s Positive Returns: 1871-2014 </w:t>
            </w:r>
          </w:p>
          <w:p w:rsidR="00000000" w:rsidDel="00000000" w:rsidP="00000000" w:rsidRDefault="00000000" w:rsidRPr="00000000" w14:paraId="0000003E">
            <w:pPr>
              <w:rPr/>
            </w:pPr>
            <w:r w:rsidDel="00000000" w:rsidR="00000000" w:rsidRPr="00000000">
              <w:rPr>
                <w:rtl w:val="0"/>
              </w:rPr>
              <w:t xml:space="preserve">Another reason that young investors opt not to invest is due to the “riskiness” of the stock market. This chart looks at over a hundred years of stock market history and breaks it up into various time intervals to assess risk. Use the chart to answer these questions:</w:t>
            </w:r>
          </w:p>
          <w:p w:rsidR="00000000" w:rsidDel="00000000" w:rsidP="00000000" w:rsidRDefault="00000000" w:rsidRPr="00000000" w14:paraId="0000003F">
            <w:pPr>
              <w:numPr>
                <w:ilvl w:val="0"/>
                <w:numId w:val="6"/>
              </w:numPr>
              <w:spacing w:line="276" w:lineRule="auto"/>
              <w:ind w:left="720" w:hanging="360"/>
              <w:rPr/>
            </w:pPr>
            <w:r w:rsidDel="00000000" w:rsidR="00000000" w:rsidRPr="00000000">
              <w:rPr>
                <w:rtl w:val="0"/>
              </w:rPr>
              <w:t xml:space="preserve">Assuming you had a 15 year time horizon (held your investment for that period of time), how many times would you have lost money? What would have been your worst annual return? </w:t>
            </w:r>
          </w:p>
          <w:p w:rsidR="00000000" w:rsidDel="00000000" w:rsidP="00000000" w:rsidRDefault="00000000" w:rsidRPr="00000000" w14:paraId="00000040">
            <w:pPr>
              <w:numPr>
                <w:ilvl w:val="0"/>
                <w:numId w:val="6"/>
              </w:numPr>
              <w:spacing w:line="276" w:lineRule="auto"/>
              <w:ind w:left="720" w:hanging="360"/>
              <w:rPr/>
            </w:pPr>
            <w:r w:rsidDel="00000000" w:rsidR="00000000" w:rsidRPr="00000000">
              <w:rPr>
                <w:rtl w:val="0"/>
              </w:rPr>
              <w:t xml:space="preserve">Based on this historical data, what can you say about the relationship between the risk (of losing money) in the stock market and the length of time you hold an investment?</w:t>
            </w:r>
          </w:p>
          <w:p w:rsidR="00000000" w:rsidDel="00000000" w:rsidP="00000000" w:rsidRDefault="00000000" w:rsidRPr="00000000" w14:paraId="00000041">
            <w:pPr>
              <w:numPr>
                <w:ilvl w:val="0"/>
                <w:numId w:val="6"/>
              </w:numPr>
              <w:spacing w:line="276" w:lineRule="auto"/>
              <w:ind w:left="720" w:hanging="360"/>
              <w:rPr/>
            </w:pPr>
            <w:r w:rsidDel="00000000" w:rsidR="00000000" w:rsidRPr="00000000">
              <w:rPr>
                <w:rtl w:val="0"/>
              </w:rPr>
              <w:t xml:space="preserve">You have been asked by a friend how they should think about investing in the stock market. Convince them of the merits of long-term investing using the data above.   </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42">
            <w:pPr>
              <w:rPr/>
            </w:pPr>
            <w:r w:rsidDel="00000000" w:rsidR="00000000" w:rsidRPr="00000000">
              <w:rPr>
                <w:rtl w:val="0"/>
              </w:rPr>
              <w:t xml:space="preserve">10 mins</w:t>
            </w:r>
          </w:p>
        </w:tc>
      </w:tr>
      <w:tr>
        <w:tc>
          <w:tcPr>
            <w:shd w:fill="ffffff" w:val="clear"/>
            <w:tcMar>
              <w:top w:w="99.36" w:type="dxa"/>
              <w:left w:w="99.36" w:type="dxa"/>
              <w:bottom w:w="99.36" w:type="dxa"/>
              <w:right w:w="99.36" w:type="dxa"/>
            </w:tcMar>
            <w:vAlign w:val="top"/>
          </w:tcPr>
          <w:p w:rsidR="00000000" w:rsidDel="00000000" w:rsidP="00000000" w:rsidRDefault="00000000" w:rsidRPr="00000000" w14:paraId="00000043">
            <w:pPr>
              <w:pStyle w:val="Heading2"/>
              <w:jc w:val="center"/>
              <w:rPr/>
            </w:pPr>
            <w:bookmarkStart w:colFirst="0" w:colLast="0" w:name="_vpaz2n260nw6" w:id="14"/>
            <w:bookmarkEnd w:id="14"/>
            <w:r w:rsidDel="00000000" w:rsidR="00000000" w:rsidRPr="00000000">
              <w:rPr>
                <w:rtl w:val="0"/>
              </w:rPr>
              <w:t xml:space="preserve">5</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44">
            <w:pPr>
              <w:rPr/>
            </w:pPr>
            <w:r w:rsidDel="00000000" w:rsidR="00000000" w:rsidRPr="00000000">
              <w:rPr>
                <w:rtl w:val="0"/>
              </w:rPr>
              <w:t xml:space="preserve">REFERENCE</w:t>
            </w:r>
          </w:p>
          <w:p w:rsidR="00000000" w:rsidDel="00000000" w:rsidP="00000000" w:rsidRDefault="00000000" w:rsidRPr="00000000" w14:paraId="00000045">
            <w:pPr>
              <w:numPr>
                <w:ilvl w:val="0"/>
                <w:numId w:val="14"/>
              </w:numPr>
              <w:ind w:left="720" w:hanging="360"/>
              <w:rPr/>
            </w:pPr>
            <w:hyperlink r:id="rId14">
              <w:r w:rsidDel="00000000" w:rsidR="00000000" w:rsidRPr="00000000">
                <w:rPr>
                  <w:color w:val="1155cc"/>
                  <w:u w:val="single"/>
                  <w:rtl w:val="0"/>
                </w:rPr>
                <w:t xml:space="preserve">Taking Account of Savings Rates</w:t>
              </w:r>
            </w:hyperlink>
            <w:r w:rsidDel="00000000" w:rsidR="00000000" w:rsidRPr="00000000">
              <w:rPr>
                <w:rtl w:val="0"/>
              </w:rPr>
            </w:r>
          </w:p>
          <w:p w:rsidR="00000000" w:rsidDel="00000000" w:rsidP="00000000" w:rsidRDefault="00000000" w:rsidRPr="00000000" w14:paraId="00000046">
            <w:pPr>
              <w:numPr>
                <w:ilvl w:val="0"/>
                <w:numId w:val="14"/>
              </w:numPr>
              <w:ind w:left="720" w:hanging="360"/>
              <w:rPr/>
            </w:pPr>
            <w:r w:rsidDel="00000000" w:rsidR="00000000" w:rsidRPr="00000000">
              <w:rPr>
                <w:rtl w:val="0"/>
              </w:rPr>
              <w:t xml:space="preserve">Publisher: The Wall Street Journal</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18"/>
              </w:numPr>
              <w:ind w:left="720" w:hanging="360"/>
              <w:rPr>
                <w:b w:val="1"/>
              </w:rPr>
            </w:pPr>
            <w:r w:rsidDel="00000000" w:rsidR="00000000" w:rsidRPr="00000000">
              <w:rPr>
                <w:b w:val="1"/>
                <w:rtl w:val="0"/>
              </w:rPr>
              <w:t xml:space="preserve">Teacher Tip:</w:t>
            </w:r>
            <w:r w:rsidDel="00000000" w:rsidR="00000000" w:rsidRPr="00000000">
              <w:rPr>
                <w:rtl w:val="0"/>
              </w:rPr>
              <w:t xml:space="preserve"> These charts demonstrate how our financial lives should be looked at holistically. Having a large student debt balance can crimp your lifestyle and also prevent you from saving for retirement at the most advantageous time. </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49">
            <w:pPr>
              <w:rPr>
                <w:b w:val="1"/>
              </w:rPr>
            </w:pPr>
            <w:r w:rsidDel="00000000" w:rsidR="00000000" w:rsidRPr="00000000">
              <w:rPr>
                <w:b w:val="1"/>
                <w:rtl w:val="0"/>
              </w:rPr>
              <w:t xml:space="preserve">Taking Account of Savings Rates</w:t>
            </w:r>
          </w:p>
          <w:p w:rsidR="00000000" w:rsidDel="00000000" w:rsidP="00000000" w:rsidRDefault="00000000" w:rsidRPr="00000000" w14:paraId="0000004A">
            <w:pPr>
              <w:rPr/>
            </w:pPr>
            <w:r w:rsidDel="00000000" w:rsidR="00000000" w:rsidRPr="00000000">
              <w:rPr>
                <w:rtl w:val="0"/>
              </w:rPr>
              <w:t xml:space="preserve">You can’t invest if you are not setting aside money to do it. Analyze these charts to find out why young people are saving less. Use your analysis to answer these questions:</w:t>
            </w:r>
          </w:p>
          <w:p w:rsidR="00000000" w:rsidDel="00000000" w:rsidP="00000000" w:rsidRDefault="00000000" w:rsidRPr="00000000" w14:paraId="0000004B">
            <w:pPr>
              <w:numPr>
                <w:ilvl w:val="0"/>
                <w:numId w:val="13"/>
              </w:numPr>
              <w:ind w:left="720" w:hanging="360"/>
              <w:rPr/>
            </w:pPr>
            <w:r w:rsidDel="00000000" w:rsidR="00000000" w:rsidRPr="00000000">
              <w:rPr>
                <w:rtl w:val="0"/>
              </w:rPr>
              <w:t xml:space="preserve">Which age group had the lowest savings rate in 2014?</w:t>
            </w:r>
          </w:p>
          <w:p w:rsidR="00000000" w:rsidDel="00000000" w:rsidP="00000000" w:rsidRDefault="00000000" w:rsidRPr="00000000" w14:paraId="0000004C">
            <w:pPr>
              <w:numPr>
                <w:ilvl w:val="0"/>
                <w:numId w:val="13"/>
              </w:numPr>
              <w:ind w:left="720" w:hanging="360"/>
              <w:rPr/>
            </w:pPr>
            <w:r w:rsidDel="00000000" w:rsidR="00000000" w:rsidRPr="00000000">
              <w:rPr>
                <w:rtl w:val="0"/>
              </w:rPr>
              <w:t xml:space="preserve">What has been the recent trend with student debt for those under the age of 35?</w:t>
            </w:r>
          </w:p>
          <w:p w:rsidR="00000000" w:rsidDel="00000000" w:rsidP="00000000" w:rsidRDefault="00000000" w:rsidRPr="00000000" w14:paraId="0000004D">
            <w:pPr>
              <w:numPr>
                <w:ilvl w:val="0"/>
                <w:numId w:val="13"/>
              </w:numPr>
              <w:ind w:left="720" w:hanging="360"/>
              <w:rPr/>
            </w:pPr>
            <w:r w:rsidDel="00000000" w:rsidR="00000000" w:rsidRPr="00000000">
              <w:rPr>
                <w:rtl w:val="0"/>
              </w:rPr>
              <w:t xml:space="preserve">Do you think there is a relationship between student debt and savings rate? What might be other factors to consider as to why young people save less than other age groups?  </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4E">
            <w:pPr>
              <w:rPr/>
            </w:pPr>
            <w:r w:rsidDel="00000000" w:rsidR="00000000" w:rsidRPr="00000000">
              <w:rPr>
                <w:rtl w:val="0"/>
              </w:rPr>
              <w:t xml:space="preserve">5 mins</w:t>
            </w:r>
          </w:p>
        </w:tc>
      </w:tr>
      <w:tr>
        <w:tc>
          <w:tcPr>
            <w:shd w:fill="f3f3f3" w:val="clear"/>
            <w:tcMar>
              <w:top w:w="99.36" w:type="dxa"/>
              <w:left w:w="99.36" w:type="dxa"/>
              <w:bottom w:w="99.36" w:type="dxa"/>
              <w:right w:w="99.36" w:type="dxa"/>
            </w:tcMar>
            <w:vAlign w:val="top"/>
          </w:tcPr>
          <w:p w:rsidR="00000000" w:rsidDel="00000000" w:rsidP="00000000" w:rsidRDefault="00000000" w:rsidRPr="00000000" w14:paraId="0000004F">
            <w:pPr>
              <w:pStyle w:val="Heading2"/>
              <w:jc w:val="center"/>
              <w:rPr/>
            </w:pPr>
            <w:bookmarkStart w:colFirst="0" w:colLast="0" w:name="_xuawt26fgbuu" w:id="15"/>
            <w:bookmarkEnd w:id="15"/>
            <w:r w:rsidDel="00000000" w:rsidR="00000000" w:rsidRPr="00000000">
              <w:rPr>
                <w:rtl w:val="0"/>
              </w:rPr>
              <w:t xml:space="preserve">6</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50">
            <w:pPr>
              <w:rPr/>
            </w:pPr>
            <w:r w:rsidDel="00000000" w:rsidR="00000000" w:rsidRPr="00000000">
              <w:rPr>
                <w:rtl w:val="0"/>
              </w:rPr>
              <w:t xml:space="preserve">REFERENCE</w:t>
            </w:r>
          </w:p>
          <w:p w:rsidR="00000000" w:rsidDel="00000000" w:rsidP="00000000" w:rsidRDefault="00000000" w:rsidRPr="00000000" w14:paraId="00000051">
            <w:pPr>
              <w:numPr>
                <w:ilvl w:val="0"/>
                <w:numId w:val="9"/>
              </w:numPr>
              <w:ind w:left="720" w:hanging="360"/>
              <w:rPr/>
            </w:pPr>
            <w:hyperlink r:id="rId15">
              <w:r w:rsidDel="00000000" w:rsidR="00000000" w:rsidRPr="00000000">
                <w:rPr>
                  <w:color w:val="1155cc"/>
                  <w:u w:val="single"/>
                  <w:rtl w:val="0"/>
                </w:rPr>
                <w:t xml:space="preserve">Think You Don’t Know Enough To Invest On Your Own?</w:t>
              </w:r>
            </w:hyperlink>
            <w:r w:rsidDel="00000000" w:rsidR="00000000" w:rsidRPr="00000000">
              <w:rPr>
                <w:rtl w:val="0"/>
              </w:rPr>
              <w:t xml:space="preserve"> </w:t>
            </w:r>
          </w:p>
          <w:p w:rsidR="00000000" w:rsidDel="00000000" w:rsidP="00000000" w:rsidRDefault="00000000" w:rsidRPr="00000000" w14:paraId="00000052">
            <w:pPr>
              <w:numPr>
                <w:ilvl w:val="0"/>
                <w:numId w:val="5"/>
              </w:numPr>
              <w:ind w:left="720" w:hanging="360"/>
              <w:rPr/>
            </w:pPr>
            <w:r w:rsidDel="00000000" w:rsidR="00000000" w:rsidRPr="00000000">
              <w:rPr>
                <w:rtl w:val="0"/>
              </w:rPr>
              <w:t xml:space="preserve">Publisher: TD Bank</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53">
            <w:pPr>
              <w:rPr>
                <w:b w:val="1"/>
              </w:rPr>
            </w:pPr>
            <w:r w:rsidDel="00000000" w:rsidR="00000000" w:rsidRPr="00000000">
              <w:rPr>
                <w:b w:val="1"/>
                <w:rtl w:val="0"/>
              </w:rPr>
              <w:t xml:space="preserve">Think You Don’t Know Enough To Invest On Your Own? </w:t>
            </w:r>
          </w:p>
          <w:p w:rsidR="00000000" w:rsidDel="00000000" w:rsidP="00000000" w:rsidRDefault="00000000" w:rsidRPr="00000000" w14:paraId="00000054">
            <w:pPr>
              <w:rPr>
                <w:i w:val="1"/>
              </w:rPr>
            </w:pPr>
            <w:r w:rsidDel="00000000" w:rsidR="00000000" w:rsidRPr="00000000">
              <w:rPr>
                <w:rtl w:val="0"/>
              </w:rPr>
              <w:t xml:space="preserve">Another reason young investors shy away from jumping into the investing arena is the fear that they don’t know enough. Review this infographic for answers on how you can get started. After reviewing, answer the following questions:</w:t>
            </w:r>
            <w:r w:rsidDel="00000000" w:rsidR="00000000" w:rsidRPr="00000000">
              <w:rPr>
                <w:rtl w:val="0"/>
              </w:rPr>
            </w:r>
          </w:p>
          <w:p w:rsidR="00000000" w:rsidDel="00000000" w:rsidP="00000000" w:rsidRDefault="00000000" w:rsidRPr="00000000" w14:paraId="00000055">
            <w:pPr>
              <w:numPr>
                <w:ilvl w:val="0"/>
                <w:numId w:val="4"/>
              </w:numPr>
              <w:ind w:left="720" w:hanging="360"/>
              <w:rPr/>
            </w:pPr>
            <w:r w:rsidDel="00000000" w:rsidR="00000000" w:rsidRPr="00000000">
              <w:rPr>
                <w:rtl w:val="0"/>
              </w:rPr>
              <w:t xml:space="preserve">Do you feel that you know enough to be an investor? </w:t>
            </w:r>
          </w:p>
          <w:p w:rsidR="00000000" w:rsidDel="00000000" w:rsidP="00000000" w:rsidRDefault="00000000" w:rsidRPr="00000000" w14:paraId="00000056">
            <w:pPr>
              <w:numPr>
                <w:ilvl w:val="0"/>
                <w:numId w:val="4"/>
              </w:numPr>
              <w:ind w:left="720" w:hanging="360"/>
              <w:rPr/>
            </w:pPr>
            <w:r w:rsidDel="00000000" w:rsidR="00000000" w:rsidRPr="00000000">
              <w:rPr>
                <w:rtl w:val="0"/>
              </w:rPr>
              <w:t xml:space="preserve">What can you learn from Warren Buffett’s first investment that can help you start investing? </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57">
            <w:pPr>
              <w:rPr/>
            </w:pPr>
            <w:r w:rsidDel="00000000" w:rsidR="00000000" w:rsidRPr="00000000">
              <w:rPr>
                <w:rtl w:val="0"/>
              </w:rPr>
              <w:t xml:space="preserve">5 mins</w:t>
            </w:r>
          </w:p>
        </w:tc>
      </w:tr>
      <w:tr>
        <w:tc>
          <w:tcPr>
            <w:shd w:fill="ffffff" w:val="clear"/>
            <w:tcMar>
              <w:top w:w="99.36" w:type="dxa"/>
              <w:left w:w="99.36" w:type="dxa"/>
              <w:bottom w:w="99.36" w:type="dxa"/>
              <w:right w:w="99.36" w:type="dxa"/>
            </w:tcMar>
            <w:vAlign w:val="top"/>
          </w:tcPr>
          <w:p w:rsidR="00000000" w:rsidDel="00000000" w:rsidP="00000000" w:rsidRDefault="00000000" w:rsidRPr="00000000" w14:paraId="00000058">
            <w:pPr>
              <w:pStyle w:val="Heading2"/>
              <w:jc w:val="center"/>
              <w:rPr/>
            </w:pPr>
            <w:bookmarkStart w:colFirst="0" w:colLast="0" w:name="_ftaik7exwxjp" w:id="16"/>
            <w:bookmarkEnd w:id="16"/>
            <w:r w:rsidDel="00000000" w:rsidR="00000000" w:rsidRPr="00000000">
              <w:rPr>
                <w:rtl w:val="0"/>
              </w:rPr>
              <w:t xml:space="preserve">7</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59">
            <w:pPr>
              <w:rPr/>
            </w:pPr>
            <w:hyperlink r:id="rId16">
              <w:r w:rsidDel="00000000" w:rsidR="00000000" w:rsidRPr="00000000">
                <w:rPr>
                  <w:color w:val="1155cc"/>
                  <w:u w:val="single"/>
                  <w:rtl w:val="0"/>
                </w:rPr>
                <w:t xml:space="preserve">EXIT TICKET</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17"/>
              </w:numPr>
              <w:ind w:left="720" w:hanging="360"/>
              <w:rPr/>
            </w:pPr>
            <w:r w:rsidDel="00000000" w:rsidR="00000000" w:rsidRPr="00000000">
              <w:rPr>
                <w:b w:val="1"/>
                <w:rtl w:val="0"/>
              </w:rPr>
              <w:t xml:space="preserve">Teacher Tip:</w:t>
            </w:r>
            <w:r w:rsidDel="00000000" w:rsidR="00000000" w:rsidRPr="00000000">
              <w:rPr>
                <w:rtl w:val="0"/>
              </w:rPr>
              <w:t xml:space="preserve"> To administer this Exit Ticket using Google Forms, make your </w:t>
            </w:r>
            <w:hyperlink r:id="rId17">
              <w:r w:rsidDel="00000000" w:rsidR="00000000" w:rsidRPr="00000000">
                <w:rPr>
                  <w:color w:val="1155cc"/>
                  <w:u w:val="single"/>
                  <w:rtl w:val="0"/>
                </w:rPr>
                <w:t xml:space="preserve">own copy here</w:t>
              </w:r>
            </w:hyperlink>
            <w:r w:rsidDel="00000000" w:rsidR="00000000" w:rsidRPr="00000000">
              <w:rPr>
                <w:rtl w:val="0"/>
              </w:rPr>
              <w:t xml:space="preserve">. </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5C">
            <w:pPr>
              <w:rPr>
                <w:b w:val="1"/>
              </w:rPr>
            </w:pPr>
            <w:r w:rsidDel="00000000" w:rsidR="00000000" w:rsidRPr="00000000">
              <w:rPr>
                <w:b w:val="1"/>
                <w:rtl w:val="0"/>
              </w:rPr>
              <w:t xml:space="preserve">Exit Ticket</w:t>
            </w:r>
          </w:p>
          <w:p w:rsidR="00000000" w:rsidDel="00000000" w:rsidP="00000000" w:rsidRDefault="00000000" w:rsidRPr="00000000" w14:paraId="0000005D">
            <w:pPr>
              <w:numPr>
                <w:ilvl w:val="0"/>
                <w:numId w:val="10"/>
              </w:numPr>
              <w:spacing w:after="0" w:afterAutospacing="0" w:before="120" w:lineRule="auto"/>
              <w:ind w:left="720" w:hanging="360"/>
              <w:rPr/>
            </w:pPr>
            <w:r w:rsidDel="00000000" w:rsidR="00000000" w:rsidRPr="00000000">
              <w:rPr>
                <w:rtl w:val="0"/>
              </w:rPr>
              <w:t xml:space="preserve">What are two reasons that young people are not investing? </w:t>
            </w:r>
          </w:p>
          <w:p w:rsidR="00000000" w:rsidDel="00000000" w:rsidP="00000000" w:rsidRDefault="00000000" w:rsidRPr="00000000" w14:paraId="0000005E">
            <w:pPr>
              <w:numPr>
                <w:ilvl w:val="0"/>
                <w:numId w:val="10"/>
              </w:numPr>
              <w:spacing w:after="0" w:afterAutospacing="0" w:before="0" w:beforeAutospacing="0" w:lineRule="auto"/>
              <w:ind w:left="720" w:hanging="360"/>
              <w:rPr/>
            </w:pPr>
            <w:r w:rsidDel="00000000" w:rsidR="00000000" w:rsidRPr="00000000">
              <w:rPr>
                <w:rtl w:val="0"/>
              </w:rPr>
              <w:t xml:space="preserve">What is one disadvantage of waiting to invest? </w:t>
            </w:r>
          </w:p>
          <w:p w:rsidR="00000000" w:rsidDel="00000000" w:rsidP="00000000" w:rsidRDefault="00000000" w:rsidRPr="00000000" w14:paraId="0000005F">
            <w:pPr>
              <w:numPr>
                <w:ilvl w:val="0"/>
                <w:numId w:val="10"/>
              </w:numPr>
              <w:spacing w:before="0" w:beforeAutospacing="0" w:lineRule="auto"/>
              <w:ind w:left="720" w:hanging="360"/>
              <w:rPr/>
            </w:pPr>
            <w:r w:rsidDel="00000000" w:rsidR="00000000" w:rsidRPr="00000000">
              <w:rPr>
                <w:rtl w:val="0"/>
              </w:rPr>
              <w:t xml:space="preserve">True or False: The stock market always provides negative returns over periods of 15 years or more. </w:t>
            </w:r>
          </w:p>
        </w:tc>
        <w:tc>
          <w:tcPr>
            <w:shd w:fill="ffffff" w:val="clear"/>
            <w:tcMar>
              <w:top w:w="99.36" w:type="dxa"/>
              <w:left w:w="99.36" w:type="dxa"/>
              <w:bottom w:w="99.36" w:type="dxa"/>
              <w:right w:w="99.36" w:type="dxa"/>
            </w:tcMar>
            <w:vAlign w:val="top"/>
          </w:tcPr>
          <w:p w:rsidR="00000000" w:rsidDel="00000000" w:rsidP="00000000" w:rsidRDefault="00000000" w:rsidRPr="00000000" w14:paraId="00000060">
            <w:pPr>
              <w:rPr/>
            </w:pPr>
            <w:r w:rsidDel="00000000" w:rsidR="00000000" w:rsidRPr="00000000">
              <w:rPr>
                <w:rtl w:val="0"/>
              </w:rPr>
              <w:t xml:space="preserve">5 mins</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tbl>
      <w:tblPr>
        <w:tblStyle w:val="Table4"/>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4470"/>
        <w:gridCol w:w="5355"/>
        <w:tblGridChange w:id="0">
          <w:tblGrid>
            <w:gridCol w:w="945"/>
            <w:gridCol w:w="4470"/>
            <w:gridCol w:w="5355"/>
          </w:tblGrid>
        </w:tblGridChange>
      </w:tblGrid>
      <w:tr>
        <w:trPr>
          <w:trHeight w:val="480" w:hRule="atLeast"/>
        </w:trPr>
        <w:tc>
          <w:tcPr>
            <w:tcBorders>
              <w:top w:color="cccccc" w:space="0" w:sz="8" w:val="single"/>
              <w:left w:color="cccccc" w:space="0" w:sz="8" w:val="single"/>
              <w:bottom w:color="cccccc" w:space="0" w:sz="8" w:val="single"/>
              <w:right w:color="0c4599" w:space="0" w:sz="8" w:val="single"/>
            </w:tcBorders>
            <w:shd w:fill="0c4599" w:val="clear"/>
            <w:tcMar>
              <w:top w:w="100.0" w:type="dxa"/>
              <w:left w:w="100.0" w:type="dxa"/>
              <w:bottom w:w="100.0" w:type="dxa"/>
              <w:right w:w="100.0" w:type="dxa"/>
            </w:tcMar>
            <w:vAlign w:val="center"/>
          </w:tcPr>
          <w:p w:rsidR="00000000" w:rsidDel="00000000" w:rsidP="00000000" w:rsidRDefault="00000000" w:rsidRPr="00000000" w14:paraId="00000063">
            <w:pPr>
              <w:rPr>
                <w:b w:val="1"/>
                <w:color w:val="0c4599"/>
                <w:sz w:val="28"/>
                <w:szCs w:val="28"/>
              </w:rPr>
            </w:pPr>
            <w:r w:rsidDel="00000000" w:rsidR="00000000" w:rsidRPr="00000000">
              <w:rPr>
                <w:b w:val="1"/>
                <w:color w:val="0c4599"/>
                <w:sz w:val="28"/>
                <w:szCs w:val="28"/>
              </w:rPr>
              <w:drawing>
                <wp:inline distB="114300" distT="114300" distL="114300" distR="114300">
                  <wp:extent cx="500063" cy="470059"/>
                  <wp:effectExtent b="0" l="0" r="0" t="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00063" cy="470059"/>
                          </a:xfrm>
                          <a:prstGeom prst="rect"/>
                          <a:ln/>
                        </pic:spPr>
                      </pic:pic>
                    </a:graphicData>
                  </a:graphic>
                </wp:inline>
              </w:drawing>
            </w:r>
            <w:r w:rsidDel="00000000" w:rsidR="00000000" w:rsidRPr="00000000">
              <w:rPr>
                <w:rtl w:val="0"/>
              </w:rPr>
            </w:r>
          </w:p>
        </w:tc>
        <w:tc>
          <w:tcPr>
            <w:gridSpan w:val="2"/>
            <w:tcBorders>
              <w:top w:color="cccccc" w:space="0" w:sz="8" w:val="single"/>
              <w:left w:color="0c4599" w:space="0" w:sz="8" w:val="single"/>
              <w:bottom w:color="cccccc" w:space="0" w:sz="8" w:val="single"/>
              <w:right w:color="cccccc" w:space="0" w:sz="8" w:val="single"/>
            </w:tcBorders>
            <w:shd w:fill="0c4599" w:val="clear"/>
            <w:tcMar>
              <w:top w:w="100.0" w:type="dxa"/>
              <w:left w:w="100.0" w:type="dxa"/>
              <w:bottom w:w="100.0" w:type="dxa"/>
              <w:right w:w="100.0" w:type="dxa"/>
            </w:tcMar>
            <w:vAlign w:val="center"/>
          </w:tcPr>
          <w:p w:rsidR="00000000" w:rsidDel="00000000" w:rsidP="00000000" w:rsidRDefault="00000000" w:rsidRPr="00000000" w14:paraId="00000064">
            <w:pPr>
              <w:rPr>
                <w:b w:val="1"/>
                <w:color w:val="ffffff"/>
                <w:sz w:val="22"/>
                <w:szCs w:val="22"/>
              </w:rPr>
            </w:pPr>
            <w:r w:rsidDel="00000000" w:rsidR="00000000" w:rsidRPr="00000000">
              <w:rPr>
                <w:b w:val="1"/>
                <w:color w:val="ffffff"/>
                <w:sz w:val="28"/>
                <w:szCs w:val="28"/>
                <w:rtl w:val="0"/>
              </w:rPr>
              <w:t xml:space="preserve">EXTEND THE LEARNING</w:t>
            </w:r>
            <w:r w:rsidDel="00000000" w:rsidR="00000000" w:rsidRPr="00000000">
              <w:rPr>
                <w:rtl w:val="0"/>
              </w:rPr>
            </w:r>
          </w:p>
        </w:tc>
      </w:tr>
      <w:tr>
        <w:trPr>
          <w:trHeight w:val="480" w:hRule="atLeast"/>
        </w:trPr>
        <w:tc>
          <w:tcPr>
            <w:gridSpan w:val="3"/>
            <w:tcBorders>
              <w:top w:color="cccccc" w:space="0" w:sz="8" w:val="single"/>
              <w:left w:color="cccccc" w:space="0" w:sz="8" w:val="single"/>
              <w:bottom w:color="cccccc" w:space="0" w:sz="8" w:val="single"/>
              <w:right w:color="cccccc"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6">
            <w:pPr>
              <w:rPr>
                <w:b w:val="1"/>
                <w:color w:val="f6b26b"/>
                <w:sz w:val="28"/>
                <w:szCs w:val="28"/>
              </w:rPr>
            </w:pPr>
            <w:r w:rsidDel="00000000" w:rsidR="00000000" w:rsidRPr="00000000">
              <w:rPr>
                <w:rtl w:val="0"/>
              </w:rPr>
              <w:t xml:space="preserve"> </w:t>
            </w:r>
            <w:r w:rsidDel="00000000" w:rsidR="00000000" w:rsidRPr="00000000">
              <w:rPr>
                <w:b w:val="1"/>
                <w:color w:val="f6b26b"/>
                <w:sz w:val="28"/>
                <w:szCs w:val="28"/>
                <w:rtl w:val="0"/>
              </w:rPr>
              <w:t xml:space="preserve">FAST FACTS...</w:t>
            </w:r>
          </w:p>
          <w:p w:rsidR="00000000" w:rsidDel="00000000" w:rsidP="00000000" w:rsidRDefault="00000000" w:rsidRPr="00000000" w14:paraId="00000067">
            <w:pPr>
              <w:numPr>
                <w:ilvl w:val="0"/>
                <w:numId w:val="16"/>
              </w:numPr>
              <w:ind w:left="720" w:hanging="360"/>
              <w:rPr/>
            </w:pPr>
            <w:r w:rsidDel="00000000" w:rsidR="00000000" w:rsidRPr="00000000">
              <w:rPr>
                <w:rtl w:val="0"/>
              </w:rPr>
              <w:t xml:space="preserve">The media idolizes young wunderkinds who win big in the market; it doesn’t document the cautionary tales of those who didn’t succeed. Here are the stock market prodigies: </w:t>
            </w:r>
          </w:p>
          <w:p w:rsidR="00000000" w:rsidDel="00000000" w:rsidP="00000000" w:rsidRDefault="00000000" w:rsidRPr="00000000" w14:paraId="00000068">
            <w:pPr>
              <w:numPr>
                <w:ilvl w:val="1"/>
                <w:numId w:val="16"/>
              </w:numPr>
              <w:ind w:left="1440" w:hanging="360"/>
              <w:rPr/>
            </w:pPr>
            <w:r w:rsidDel="00000000" w:rsidR="00000000" w:rsidRPr="00000000">
              <w:rPr>
                <w:rtl w:val="0"/>
              </w:rPr>
              <w:t xml:space="preserve">Brand Fleisher, 17, tripled his investment in two years from $48,000 to $147,0000. He usually goes for small cap stocks, and he hasn't held onto a stock for more than a year, he says (CNN Money, 2015).</w:t>
            </w:r>
          </w:p>
          <w:p w:rsidR="00000000" w:rsidDel="00000000" w:rsidP="00000000" w:rsidRDefault="00000000" w:rsidRPr="00000000" w14:paraId="00000069">
            <w:pPr>
              <w:numPr>
                <w:ilvl w:val="1"/>
                <w:numId w:val="16"/>
              </w:numPr>
              <w:ind w:left="1440" w:hanging="360"/>
              <w:rPr/>
            </w:pPr>
            <w:r w:rsidDel="00000000" w:rsidR="00000000" w:rsidRPr="00000000">
              <w:rPr>
                <w:rtl w:val="0"/>
              </w:rPr>
              <w:t xml:space="preserve">Akira Ellis is barely a teenager but at just 13 he's already bought his first house and is one of the youngest property investors in Australia. He's now the proud owner of a four-bedroom house in the outer Melbourne suburb of Frankston, and he's already started renovations. (MSN Money, 2017)</w:t>
            </w:r>
          </w:p>
          <w:p w:rsidR="00000000" w:rsidDel="00000000" w:rsidP="00000000" w:rsidRDefault="00000000" w:rsidRPr="00000000" w14:paraId="0000006A">
            <w:pPr>
              <w:numPr>
                <w:ilvl w:val="0"/>
                <w:numId w:val="16"/>
              </w:numPr>
              <w:ind w:left="720" w:hanging="360"/>
              <w:rPr/>
            </w:pPr>
            <w:r w:rsidDel="00000000" w:rsidR="00000000" w:rsidRPr="00000000">
              <w:rPr>
                <w:rtl w:val="0"/>
              </w:rPr>
              <w:t xml:space="preserve">Here’s my story:</w:t>
            </w:r>
          </w:p>
          <w:p w:rsidR="00000000" w:rsidDel="00000000" w:rsidP="00000000" w:rsidRDefault="00000000" w:rsidRPr="00000000" w14:paraId="0000006B">
            <w:pPr>
              <w:numPr>
                <w:ilvl w:val="1"/>
                <w:numId w:val="16"/>
              </w:numPr>
              <w:ind w:left="1440" w:hanging="360"/>
              <w:rPr/>
            </w:pPr>
            <w:r w:rsidDel="00000000" w:rsidR="00000000" w:rsidRPr="00000000">
              <w:rPr>
                <w:rtl w:val="0"/>
              </w:rPr>
              <w:t xml:space="preserve">Tim Ranzetta, founder of NGPF, took half of his first paycheck and bought 200 shares of a company called CheckRobot at $7/share in 1989. CheckRobot had a technology product that automated the checkout line in retail stores. Six months later, I sold my shares for $3 a share and booked a $800 loss. A great lesson in the risk of investing in speculative stocks. </w:t>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color w:val="0c4599"/>
          <w:sz w:val="12"/>
          <w:szCs w:val="12"/>
        </w:rPr>
      </w:pPr>
      <w:r w:rsidDel="00000000" w:rsidR="00000000" w:rsidRPr="00000000">
        <w:rPr>
          <w:rtl w:val="0"/>
        </w:rPr>
      </w:r>
    </w:p>
    <w:sectPr>
      <w:headerReference r:id="rId19" w:type="default"/>
      <w:footerReference r:id="rId20" w:type="default"/>
      <w:pgSz w:h="15840" w:w="12240" w:orient="portrait"/>
      <w:pgMar w:bottom="360" w:top="36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jc w:val="center"/>
      <w:rPr>
        <w:color w:val="999999"/>
      </w:rPr>
    </w:pPr>
    <w:hyperlink r:id="rId1">
      <w:r w:rsidDel="00000000" w:rsidR="00000000" w:rsidRPr="00000000">
        <w:rPr>
          <w:color w:val="999999"/>
          <w:rtl w:val="0"/>
        </w:rPr>
        <w:t xml:space="preserve">www.ngpf.org</w:t>
      </w:r>
    </w:hyperlink>
    <w:r w:rsidDel="00000000" w:rsidR="00000000" w:rsidRPr="00000000">
      <w:rPr>
        <w:color w:val="999999"/>
        <w:rtl w:val="0"/>
      </w:rPr>
      <w:tab/>
      <w:tab/>
      <w:tab/>
      <w:tab/>
      <w:t xml:space="preserve"> Last updated: 6/28/18</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Pr>
    <w:rPr>
      <w:color w:val="ffffff"/>
      <w:sz w:val="24"/>
      <w:szCs w:val="24"/>
      <w:highlight w:val="black"/>
    </w:rPr>
  </w:style>
  <w:style w:type="paragraph" w:styleId="Heading2">
    <w:name w:val="heading 2"/>
    <w:basedOn w:val="Normal"/>
    <w:next w:val="Normal"/>
    <w:pPr>
      <w:keepNext w:val="0"/>
      <w:keepLines w:val="0"/>
      <w:widowControl w:val="0"/>
    </w:pPr>
    <w:rPr>
      <w:i w:val="1"/>
      <w:color w:val="434343"/>
      <w:sz w:val="36"/>
      <w:szCs w:val="36"/>
    </w:rPr>
  </w:style>
  <w:style w:type="paragraph" w:styleId="Heading3">
    <w:name w:val="heading 3"/>
    <w:basedOn w:val="Normal"/>
    <w:next w:val="Normal"/>
    <w:pPr/>
    <w:rPr>
      <w:b w:val="1"/>
      <w:color w:val="0c4599"/>
      <w:sz w:val="22"/>
      <w:szCs w:val="22"/>
    </w:rPr>
  </w:style>
  <w:style w:type="paragraph" w:styleId="Heading4">
    <w:name w:val="heading 4"/>
    <w:basedOn w:val="Normal"/>
    <w:next w:val="Normal"/>
    <w:pPr>
      <w:keepNext w:val="0"/>
      <w:keepLines w:val="0"/>
      <w:widowControl w:val="0"/>
    </w:pPr>
    <w:rPr>
      <w:i w:val="1"/>
    </w:rPr>
  </w:style>
  <w:style w:type="paragraph" w:styleId="Heading5">
    <w:name w:val="heading 5"/>
    <w:basedOn w:val="Normal"/>
    <w:next w:val="Normal"/>
    <w:pPr>
      <w:keepNext w:val="0"/>
      <w:keepLines w:val="0"/>
      <w:widowControl w:val="0"/>
      <w:spacing w:after="40" w:before="220" w:lineRule="auto"/>
    </w:pPr>
    <w:rPr>
      <w:b w:val="1"/>
      <w:color w:val="666666"/>
      <w:sz w:val="20"/>
      <w:szCs w:val="20"/>
    </w:rPr>
  </w:style>
  <w:style w:type="paragraph" w:styleId="Heading6">
    <w:name w:val="heading 6"/>
    <w:basedOn w:val="Normal"/>
    <w:next w:val="Normal"/>
    <w:pPr>
      <w:keepNext w:val="0"/>
      <w:keepLines w:val="0"/>
      <w:widowControl w:val="0"/>
      <w:spacing w:after="40" w:before="200" w:lineRule="auto"/>
    </w:pPr>
    <w:rPr>
      <w:i w:val="1"/>
      <w:color w:val="666666"/>
      <w:sz w:val="20"/>
      <w:szCs w:val="20"/>
    </w:rPr>
  </w:style>
  <w:style w:type="paragraph" w:styleId="Title">
    <w:name w:val="Title"/>
    <w:basedOn w:val="Normal"/>
    <w:next w:val="Normal"/>
    <w:pPr>
      <w:jc w:val="right"/>
    </w:pPr>
    <w:rPr>
      <w:sz w:val="48"/>
      <w:szCs w:val="48"/>
    </w:rPr>
  </w:style>
  <w:style w:type="paragraph" w:styleId="Subtitle">
    <w:name w:val="Subtitle"/>
    <w:basedOn w:val="Normal"/>
    <w:next w:val="Normal"/>
    <w:pPr>
      <w:spacing w:after="80" w:lineRule="auto"/>
      <w:jc w:val="right"/>
    </w:pPr>
    <w:rPr>
      <w:i w:val="1"/>
      <w:sz w:val="48"/>
      <w:szCs w:val="48"/>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bankrate.com/investing/millennials-slow-to-start-investing-in-stock-market-bankrate-survey-finds/" TargetMode="External"/><Relationship Id="rId10" Type="http://schemas.openxmlformats.org/officeDocument/2006/relationships/hyperlink" Target="https://docs.google.com/presentation/d/1mxX-6STd6pOFCMnoVZgBdOEqGz6QTNVoVDrrZ7f58sI/edit?usp=sharing" TargetMode="External"/><Relationship Id="rId13" Type="http://schemas.openxmlformats.org/officeDocument/2006/relationships/hyperlink" Target="https://drive.google.com/file/d/0B6t6xtZHt-QqQmUwNk5oa2paTE0/view" TargetMode="External"/><Relationship Id="rId12" Type="http://schemas.openxmlformats.org/officeDocument/2006/relationships/hyperlink" Target="https://drive.google.com/file/d/1I99ijTA9aJ6HPjS1LwrYWVg7rzHRZl-K/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drive.google.com/file/d/1I8jicDtXgf9_0McITUHM3RG7UkfHiQd4/view?usp=sharing" TargetMode="External"/><Relationship Id="rId14" Type="http://schemas.openxmlformats.org/officeDocument/2006/relationships/hyperlink" Target="https://drive.google.com/file/d/1WtQNFAfO71D3fCQzlKMo0TnYUfQzstMj/view?usp=sharing" TargetMode="External"/><Relationship Id="rId17" Type="http://schemas.openxmlformats.org/officeDocument/2006/relationships/hyperlink" Target="https://docs.google.com/forms/d/1V_pZ7eShnZe1sF0ORTxyXriIi6MDi1u-i8kO3-smUNI/copy" TargetMode="External"/><Relationship Id="rId16" Type="http://schemas.openxmlformats.org/officeDocument/2006/relationships/hyperlink" Target="https://docs.google.com/presentation/d/1tiUP2sgXO_KqxyZcwU1vtTLT3WVEalzMbQxt8WCRBKg/edit?usp=sharin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3.png"/><Relationship Id="rId18" Type="http://schemas.openxmlformats.org/officeDocument/2006/relationships/image" Target="media/image2.png"/><Relationship Id="rId7" Type="http://schemas.openxmlformats.org/officeDocument/2006/relationships/hyperlink" Target="https://drive.google.com/open?id=1QTc4nXA-cEipZ3E8DobeeS43IEOR6quWank0C2K5wv0" TargetMode="External"/><Relationship Id="rId8" Type="http://schemas.openxmlformats.org/officeDocument/2006/relationships/hyperlink" Target="https://drive.google.com/open?id=1ATH02Fz6cuA_HiIiz8wcuRoDNsioOEIqe7lKAxt9dM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g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