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532" w:rsidRPr="00DA3532" w:rsidRDefault="00DA3532" w:rsidP="00DA3532">
      <w:pPr>
        <w:jc w:val="center"/>
        <w:rPr>
          <w:b/>
          <w:bCs/>
          <w:caps/>
          <w:sz w:val="28"/>
        </w:rPr>
      </w:pPr>
      <w:r>
        <w:rPr>
          <w:noProof/>
        </w:rPr>
        <w:drawing>
          <wp:anchor distT="0" distB="0" distL="114300" distR="114300" simplePos="0" relativeHeight="251658240" behindDoc="0" locked="0" layoutInCell="1" allowOverlap="1">
            <wp:simplePos x="0" y="0"/>
            <wp:positionH relativeFrom="column">
              <wp:posOffset>4410075</wp:posOffset>
            </wp:positionH>
            <wp:positionV relativeFrom="paragraph">
              <wp:posOffset>-568325</wp:posOffset>
            </wp:positionV>
            <wp:extent cx="1485900" cy="10351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85900" cy="1035121"/>
                    </a:xfrm>
                    <a:prstGeom prst="rect">
                      <a:avLst/>
                    </a:prstGeom>
                  </pic:spPr>
                </pic:pic>
              </a:graphicData>
            </a:graphic>
            <wp14:sizeRelH relativeFrom="margin">
              <wp14:pctWidth>0</wp14:pctWidth>
            </wp14:sizeRelH>
            <wp14:sizeRelV relativeFrom="margin">
              <wp14:pctHeight>0</wp14:pctHeight>
            </wp14:sizeRelV>
          </wp:anchor>
        </w:drawing>
      </w:r>
      <w:r w:rsidRPr="00DA3532">
        <w:rPr>
          <w:b/>
          <w:bCs/>
          <w:caps/>
          <w:sz w:val="28"/>
        </w:rPr>
        <w:t>Homeowners and tax</w:t>
      </w:r>
      <w:r w:rsidRPr="00DA3532">
        <w:rPr>
          <w:noProof/>
        </w:rPr>
        <w:t xml:space="preserve"> </w:t>
      </w:r>
    </w:p>
    <w:p w:rsidR="00DA3532" w:rsidRDefault="00DA3532" w:rsidP="00DA3532">
      <w:pPr>
        <w:rPr>
          <w:b/>
        </w:rPr>
      </w:pPr>
    </w:p>
    <w:p w:rsidR="00DA3532" w:rsidRPr="00DA3532" w:rsidRDefault="00DA3532" w:rsidP="00DA3532">
      <w:pPr>
        <w:rPr>
          <w:b/>
        </w:rPr>
      </w:pPr>
      <w:r w:rsidRPr="00DA3532">
        <w:rPr>
          <w:b/>
        </w:rPr>
        <w:t>Home buyers’ amount</w:t>
      </w:r>
    </w:p>
    <w:p w:rsidR="00DA3532" w:rsidRPr="00DA3532" w:rsidRDefault="00DA3532" w:rsidP="00DA3532">
      <w:r w:rsidRPr="00DA3532">
        <w:t xml:space="preserve">You or your spouse can claim the $5,000 </w:t>
      </w:r>
      <w:hyperlink r:id="rId6" w:tgtFrame="_blank" w:history="1">
        <w:r w:rsidRPr="00DA3532">
          <w:rPr>
            <w:rStyle w:val="Hyperlink"/>
          </w:rPr>
          <w:t>Home buyers’ amount</w:t>
        </w:r>
      </w:hyperlink>
      <w:r w:rsidRPr="00DA3532">
        <w:t>. The maximum credit is $750 ($5,000 x 15%, the lowest personal tax rateTax rate The rate at which you or a business pays tax on income. Often stated as a percentage, such as 25%.</w:t>
      </w:r>
      <w:hyperlink r:id="rId7" w:tgtFrame="_blank" w:history="1">
        <w:r w:rsidRPr="00DA3532">
          <w:rPr>
            <w:rStyle w:val="Hyperlink"/>
          </w:rPr>
          <w:t>+ read full definition</w:t>
        </w:r>
      </w:hyperlink>
      <w:r w:rsidRPr="00DA3532">
        <w:t>).</w:t>
      </w:r>
      <w:bookmarkStart w:id="0" w:name="_GoBack"/>
      <w:bookmarkEnd w:id="0"/>
    </w:p>
    <w:p w:rsidR="00DA3532" w:rsidRPr="00DA3532" w:rsidRDefault="00DA3532" w:rsidP="00DA3532">
      <w:pPr>
        <w:rPr>
          <w:b/>
        </w:rPr>
      </w:pPr>
      <w:r w:rsidRPr="00DA3532">
        <w:rPr>
          <w:b/>
        </w:rPr>
        <w:t>To qualify:</w:t>
      </w:r>
    </w:p>
    <w:p w:rsidR="00DA3532" w:rsidRPr="00DA3532" w:rsidRDefault="00DA3532" w:rsidP="00DA3532">
      <w:pPr>
        <w:numPr>
          <w:ilvl w:val="0"/>
          <w:numId w:val="1"/>
        </w:numPr>
      </w:pPr>
      <w:r w:rsidRPr="00DA3532">
        <w:t xml:space="preserve">You or your spouse must have acquired a </w:t>
      </w:r>
      <w:hyperlink r:id="rId8" w:tgtFrame="_blank" w:history="1">
        <w:r w:rsidRPr="00DA3532">
          <w:rPr>
            <w:rStyle w:val="Hyperlink"/>
          </w:rPr>
          <w:t>qualifying home</w:t>
        </w:r>
      </w:hyperlink>
      <w:r w:rsidRPr="00DA3532">
        <w:t>, and</w:t>
      </w:r>
    </w:p>
    <w:p w:rsidR="00DA3532" w:rsidRPr="00DA3532" w:rsidRDefault="00DA3532" w:rsidP="00DA3532">
      <w:pPr>
        <w:numPr>
          <w:ilvl w:val="0"/>
          <w:numId w:val="1"/>
        </w:numPr>
      </w:pPr>
      <w:r w:rsidRPr="00DA3532">
        <w:t>You can’t have lived in another home owned by you or your spouse in the year you buy your first home – or in any of the 4 previous years.</w:t>
      </w:r>
    </w:p>
    <w:p w:rsidR="00DA3532" w:rsidRPr="00DA3532" w:rsidRDefault="00DA3532" w:rsidP="00DA3532">
      <w:pPr>
        <w:rPr>
          <w:b/>
        </w:rPr>
      </w:pPr>
      <w:r w:rsidRPr="00DA3532">
        <w:rPr>
          <w:b/>
        </w:rPr>
        <w:t>Home Accessibility Tax Credit (HATC)</w:t>
      </w:r>
    </w:p>
    <w:p w:rsidR="00DA3532" w:rsidRPr="00DA3532" w:rsidRDefault="00DA3532" w:rsidP="00DA3532">
      <w:r w:rsidRPr="00DA3532">
        <w:t xml:space="preserve">Beginning in the 2016 tax year, there is a new non-refundable tax credit of up to $10,000 of eligible expenditures (for a maximum credit of $1,500) to renovate a home to make it more accessible, or to improve mobility within the home, for seniors 65 and over who are entitled to claim the Disability Tax Credit. Learn more about the </w:t>
      </w:r>
      <w:hyperlink r:id="rId9" w:tgtFrame="_blank" w:history="1">
        <w:r w:rsidRPr="00DA3532">
          <w:rPr>
            <w:rStyle w:val="Hyperlink"/>
          </w:rPr>
          <w:t>HATC</w:t>
        </w:r>
      </w:hyperlink>
      <w:r w:rsidRPr="00DA3532">
        <w:t>. ​</w:t>
      </w:r>
    </w:p>
    <w:p w:rsidR="00DA3532" w:rsidRPr="00DA3532" w:rsidRDefault="00DA3532" w:rsidP="00DA3532">
      <w:pPr>
        <w:rPr>
          <w:b/>
        </w:rPr>
      </w:pPr>
      <w:r w:rsidRPr="00DA3532">
        <w:rPr>
          <w:b/>
        </w:rPr>
        <w:t>Principal Residence Exemption</w:t>
      </w:r>
    </w:p>
    <w:p w:rsidR="00DA3532" w:rsidRPr="00DA3532" w:rsidRDefault="00DA3532" w:rsidP="00DA3532">
      <w:r w:rsidRPr="00DA3532">
        <w:t>You won’t pay tax on any money you make when you sell your principal residence. You don’t have to report the sale on your taxTax A fee the government charges on income, property, and sales. The money goes to finance government programs and other costs.</w:t>
      </w:r>
      <w:hyperlink r:id="rId10" w:tgtFrame="_blank" w:history="1">
        <w:r w:rsidRPr="00DA3532">
          <w:rPr>
            <w:rStyle w:val="Hyperlink"/>
          </w:rPr>
          <w:t>+ read full definition</w:t>
        </w:r>
      </w:hyperlink>
      <w:r w:rsidRPr="00DA3532">
        <w:t xml:space="preserve"> return. If prices go down and you lose money selling your home, you can’t claim the loss on your tax return. Learn more about the </w:t>
      </w:r>
      <w:hyperlink r:id="rId11" w:tgtFrame="_blank" w:history="1">
        <w:r w:rsidRPr="00DA3532">
          <w:rPr>
            <w:rStyle w:val="Hyperlink"/>
          </w:rPr>
          <w:t>Principal Residence Exemption</w:t>
        </w:r>
      </w:hyperlink>
      <w:r w:rsidRPr="00DA3532">
        <w:t>.</w:t>
      </w:r>
    </w:p>
    <w:p w:rsidR="00DA3532" w:rsidRPr="00DA3532" w:rsidRDefault="00DA3532" w:rsidP="00DA3532">
      <w:r w:rsidRPr="00DA3532">
        <w:rPr>
          <w:b/>
          <w:bCs/>
        </w:rPr>
        <w:t>Home Buyers’ Plan (HBP)</w:t>
      </w:r>
    </w:p>
    <w:p w:rsidR="00DA3532" w:rsidRPr="00DA3532" w:rsidRDefault="00DA3532" w:rsidP="00DA3532">
      <w:r w:rsidRPr="00DA3532">
        <w:t xml:space="preserve">As a first-time home buyer, You can borrow up to $35,000 from your RRSP under the </w:t>
      </w:r>
      <w:hyperlink r:id="rId12" w:tgtFrame="_blank" w:history="1">
        <w:r w:rsidRPr="00DA3532">
          <w:rPr>
            <w:rStyle w:val="Hyperlink"/>
          </w:rPr>
          <w:t>HBP</w:t>
        </w:r>
      </w:hyperlink>
      <w:r w:rsidRPr="00DA3532">
        <w:t xml:space="preserve"> to buy or build a qualifying home for yourself, or someone with a disability who is related to you. You won’t pay any tax on the money as long as you pay it back within 15 years.</w:t>
      </w:r>
    </w:p>
    <w:p w:rsidR="00DA3532" w:rsidRPr="00DA3532" w:rsidRDefault="00DA3532" w:rsidP="00DA3532">
      <w:r w:rsidRPr="00DA3532">
        <w:rPr>
          <w:b/>
          <w:bCs/>
        </w:rPr>
        <w:t>Key point</w:t>
      </w:r>
    </w:p>
    <w:p w:rsidR="00DA3532" w:rsidRPr="00DA3532" w:rsidRDefault="00DA3532" w:rsidP="00DA3532">
      <w:r w:rsidRPr="00DA3532">
        <w:t>You won’t pay tax on any money you make when you sell your principal residence.</w:t>
      </w:r>
    </w:p>
    <w:p w:rsidR="00DA3532" w:rsidRPr="00DA3532" w:rsidRDefault="00DA3532" w:rsidP="00DA3532">
      <w:r w:rsidRPr="00DA3532">
        <w:rPr>
          <w:b/>
          <w:bCs/>
        </w:rPr>
        <w:t>Take action</w:t>
      </w:r>
    </w:p>
    <w:p w:rsidR="00DA3532" w:rsidRPr="00DA3532" w:rsidRDefault="00DA3532" w:rsidP="00DA3532">
      <w:r w:rsidRPr="00DA3532">
        <w:t xml:space="preserve">If you’re a first-time home buyer, find out if you qualify for the </w:t>
      </w:r>
      <w:hyperlink r:id="rId13" w:anchor="HBP-eligibilityconditions" w:tgtFrame="_blank" w:history="1">
        <w:r w:rsidRPr="00DA3532">
          <w:rPr>
            <w:rStyle w:val="Hyperlink"/>
          </w:rPr>
          <w:t>Home Buyers’ Plan</w:t>
        </w:r>
      </w:hyperlink>
      <w:r w:rsidRPr="00DA3532">
        <w:t xml:space="preserve"> from the Canada Revenue Agency.</w:t>
      </w:r>
    </w:p>
    <w:p w:rsidR="00855743" w:rsidRDefault="00855743"/>
    <w:sectPr w:rsidR="00855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8426C"/>
    <w:multiLevelType w:val="multilevel"/>
    <w:tmpl w:val="F20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32"/>
    <w:rsid w:val="00855743"/>
    <w:rsid w:val="00D12F46"/>
    <w:rsid w:val="00DA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7435"/>
  <w15:chartTrackingRefBased/>
  <w15:docId w15:val="{4A8EABF9-5A9B-4D82-BECE-65F81FBC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93311">
      <w:bodyDiv w:val="1"/>
      <w:marLeft w:val="0"/>
      <w:marRight w:val="0"/>
      <w:marTop w:val="0"/>
      <w:marBottom w:val="0"/>
      <w:divBdr>
        <w:top w:val="none" w:sz="0" w:space="0" w:color="auto"/>
        <w:left w:val="none" w:sz="0" w:space="0" w:color="auto"/>
        <w:bottom w:val="none" w:sz="0" w:space="0" w:color="auto"/>
        <w:right w:val="none" w:sz="0" w:space="0" w:color="auto"/>
      </w:divBdr>
      <w:divsChild>
        <w:div w:id="174850977">
          <w:marLeft w:val="6087"/>
          <w:marRight w:val="6087"/>
          <w:marTop w:val="0"/>
          <w:marBottom w:val="0"/>
          <w:divBdr>
            <w:top w:val="none" w:sz="0" w:space="0" w:color="auto"/>
            <w:left w:val="none" w:sz="0" w:space="0" w:color="auto"/>
            <w:bottom w:val="none" w:sz="0" w:space="0" w:color="auto"/>
            <w:right w:val="none" w:sz="0" w:space="0" w:color="auto"/>
          </w:divBdr>
          <w:divsChild>
            <w:div w:id="245917907">
              <w:marLeft w:val="2250"/>
              <w:marRight w:val="2250"/>
              <w:marTop w:val="510"/>
              <w:marBottom w:val="357"/>
              <w:divBdr>
                <w:top w:val="none" w:sz="0" w:space="0" w:color="auto"/>
                <w:left w:val="none" w:sz="0" w:space="0" w:color="auto"/>
                <w:bottom w:val="none" w:sz="0" w:space="0" w:color="auto"/>
                <w:right w:val="none" w:sz="0" w:space="0" w:color="auto"/>
              </w:divBdr>
              <w:divsChild>
                <w:div w:id="1727340793">
                  <w:marLeft w:val="0"/>
                  <w:marRight w:val="0"/>
                  <w:marTop w:val="0"/>
                  <w:marBottom w:val="0"/>
                  <w:divBdr>
                    <w:top w:val="none" w:sz="0" w:space="0" w:color="auto"/>
                    <w:left w:val="none" w:sz="0" w:space="0" w:color="auto"/>
                    <w:bottom w:val="none" w:sz="0" w:space="0" w:color="auto"/>
                    <w:right w:val="none" w:sz="0" w:space="0" w:color="auto"/>
                  </w:divBdr>
                  <w:divsChild>
                    <w:div w:id="1816338554">
                      <w:blockQuote w:val="1"/>
                      <w:marLeft w:val="0"/>
                      <w:marRight w:val="0"/>
                      <w:marTop w:val="375"/>
                      <w:marBottom w:val="375"/>
                      <w:divBdr>
                        <w:top w:val="none" w:sz="0" w:space="0" w:color="auto"/>
                        <w:left w:val="single" w:sz="48" w:space="17" w:color="00B6DE"/>
                        <w:bottom w:val="none" w:sz="0" w:space="0" w:color="auto"/>
                        <w:right w:val="none" w:sz="0" w:space="0" w:color="auto"/>
                      </w:divBdr>
                    </w:div>
                  </w:divsChild>
                </w:div>
              </w:divsChild>
            </w:div>
          </w:divsChild>
        </w:div>
      </w:divsChild>
    </w:div>
    <w:div w:id="1063069178">
      <w:bodyDiv w:val="1"/>
      <w:marLeft w:val="0"/>
      <w:marRight w:val="0"/>
      <w:marTop w:val="0"/>
      <w:marBottom w:val="0"/>
      <w:divBdr>
        <w:top w:val="none" w:sz="0" w:space="0" w:color="auto"/>
        <w:left w:val="none" w:sz="0" w:space="0" w:color="auto"/>
        <w:bottom w:val="none" w:sz="0" w:space="0" w:color="auto"/>
        <w:right w:val="none" w:sz="0" w:space="0" w:color="auto"/>
      </w:divBdr>
      <w:divsChild>
        <w:div w:id="324020559">
          <w:marLeft w:val="6087"/>
          <w:marRight w:val="6087"/>
          <w:marTop w:val="0"/>
          <w:marBottom w:val="0"/>
          <w:divBdr>
            <w:top w:val="none" w:sz="0" w:space="0" w:color="auto"/>
            <w:left w:val="none" w:sz="0" w:space="0" w:color="auto"/>
            <w:bottom w:val="none" w:sz="0" w:space="0" w:color="auto"/>
            <w:right w:val="none" w:sz="0" w:space="0" w:color="auto"/>
          </w:divBdr>
          <w:divsChild>
            <w:div w:id="502355361">
              <w:marLeft w:val="2250"/>
              <w:marRight w:val="2250"/>
              <w:marTop w:val="510"/>
              <w:marBottom w:val="357"/>
              <w:divBdr>
                <w:top w:val="none" w:sz="0" w:space="0" w:color="auto"/>
                <w:left w:val="none" w:sz="0" w:space="0" w:color="auto"/>
                <w:bottom w:val="none" w:sz="0" w:space="0" w:color="auto"/>
                <w:right w:val="none" w:sz="0" w:space="0" w:color="auto"/>
              </w:divBdr>
              <w:divsChild>
                <w:div w:id="1412695818">
                  <w:marLeft w:val="0"/>
                  <w:marRight w:val="0"/>
                  <w:marTop w:val="0"/>
                  <w:marBottom w:val="0"/>
                  <w:divBdr>
                    <w:top w:val="none" w:sz="0" w:space="0" w:color="auto"/>
                    <w:left w:val="none" w:sz="0" w:space="0" w:color="auto"/>
                    <w:bottom w:val="none" w:sz="0" w:space="0" w:color="auto"/>
                    <w:right w:val="none" w:sz="0" w:space="0" w:color="auto"/>
                  </w:divBdr>
                  <w:divsChild>
                    <w:div w:id="725954692">
                      <w:blockQuote w:val="1"/>
                      <w:marLeft w:val="0"/>
                      <w:marRight w:val="0"/>
                      <w:marTop w:val="375"/>
                      <w:marBottom w:val="375"/>
                      <w:divBdr>
                        <w:top w:val="none" w:sz="0" w:space="0" w:color="auto"/>
                        <w:left w:val="single" w:sz="48" w:space="17" w:color="00B6DE"/>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revenue-agency/services/tax/individuals/topics/about-your-tax-return/tax-return/completing-a-tax-return/deductions-credits-expenses/line-369-home-buyers-amount/qualifying-home.html" TargetMode="External"/><Relationship Id="rId13" Type="http://schemas.openxmlformats.org/officeDocument/2006/relationships/hyperlink" Target="https://www.canada.ca/en/revenue-agency/services/tax/individuals/topics/rrsps-related-plans/what-home-buyers-plan/participate-home-buyers-plan.html" TargetMode="External"/><Relationship Id="rId3" Type="http://schemas.openxmlformats.org/officeDocument/2006/relationships/settings" Target="settings.xml"/><Relationship Id="rId7" Type="http://schemas.openxmlformats.org/officeDocument/2006/relationships/hyperlink" Target="https://www.getsmarteraboutmoney.ca/glossary/tax-rate/" TargetMode="External"/><Relationship Id="rId12" Type="http://schemas.openxmlformats.org/officeDocument/2006/relationships/hyperlink" Target="https://www.canada.ca/en/revenue-agency/services/tax/individuals/topics/rrsps-related-plans/what-home-buyers-pl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revenue-agency/services/tax/individuals/topics/about-your-tax-return/tax-return/completing-a-tax-return/deductions-credits-expenses/line-369-home-buyers-amount.html" TargetMode="External"/><Relationship Id="rId11" Type="http://schemas.openxmlformats.org/officeDocument/2006/relationships/hyperlink" Target="https://www.canada.ca/en/revenue-agency/services/tax/individuals/topics/about-your-tax-return/tax-return/completing-a-tax-return/personal-income/line-127-capital-gains/principal-residence-other-real-estate.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etsmarteraboutmoney.ca/glossary/tax/" TargetMode="External"/><Relationship Id="rId4" Type="http://schemas.openxmlformats.org/officeDocument/2006/relationships/webSettings" Target="webSettings.xml"/><Relationship Id="rId9" Type="http://schemas.openxmlformats.org/officeDocument/2006/relationships/hyperlink" Target="https://www.canada.ca/en/revenue-agency/programs/about-canada-revenue-agency-cra/federal-government-budgets/budget-2015-strong-leadership/home-accessibility-tax-credit-hat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SECPSD</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Arnold</dc:creator>
  <cp:keywords/>
  <dc:description/>
  <cp:lastModifiedBy>Margot Arnold</cp:lastModifiedBy>
  <cp:revision>1</cp:revision>
  <dcterms:created xsi:type="dcterms:W3CDTF">2020-08-12T20:22:00Z</dcterms:created>
  <dcterms:modified xsi:type="dcterms:W3CDTF">2020-08-12T20:41:00Z</dcterms:modified>
</cp:coreProperties>
</file>